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48373">
      <w:pPr>
        <w:spacing w:line="360" w:lineRule="auto"/>
        <w:jc w:val="center"/>
        <w:rPr>
          <w:rFonts w:ascii="宋体" w:hAnsi="宋体"/>
          <w:sz w:val="24"/>
        </w:rPr>
      </w:pPr>
    </w:p>
    <w:p w14:paraId="32B3F46E">
      <w:pPr>
        <w:spacing w:line="360" w:lineRule="auto"/>
        <w:jc w:val="center"/>
        <w:rPr>
          <w:rFonts w:ascii="宋体" w:hAnsi="宋体"/>
          <w:sz w:val="24"/>
        </w:rPr>
      </w:pPr>
    </w:p>
    <w:p w14:paraId="17989293">
      <w:pPr>
        <w:spacing w:line="360" w:lineRule="auto"/>
        <w:jc w:val="center"/>
        <w:rPr>
          <w:rFonts w:ascii="宋体" w:hAnsi="宋体"/>
          <w:sz w:val="24"/>
        </w:rPr>
      </w:pPr>
    </w:p>
    <w:p w14:paraId="20EC0FC6">
      <w:pPr>
        <w:spacing w:line="360" w:lineRule="auto"/>
        <w:jc w:val="center"/>
        <w:rPr>
          <w:rFonts w:hint="eastAsia" w:ascii="宋体" w:hAnsi="宋体"/>
          <w:sz w:val="24"/>
        </w:rPr>
      </w:pPr>
    </w:p>
    <w:p w14:paraId="70171921">
      <w:pPr>
        <w:spacing w:line="360" w:lineRule="auto"/>
        <w:jc w:val="center"/>
        <w:rPr>
          <w:rFonts w:hint="eastAsia" w:ascii="宋体" w:hAnsi="宋体"/>
          <w:sz w:val="24"/>
        </w:rPr>
      </w:pPr>
    </w:p>
    <w:p w14:paraId="6968B606">
      <w:pPr>
        <w:spacing w:line="360" w:lineRule="auto"/>
        <w:jc w:val="center"/>
        <w:rPr>
          <w:rFonts w:hint="eastAsia" w:ascii="宋体" w:hAnsi="宋体"/>
          <w:sz w:val="24"/>
        </w:rPr>
      </w:pPr>
    </w:p>
    <w:p w14:paraId="15C88060">
      <w:pPr>
        <w:spacing w:line="360" w:lineRule="auto"/>
        <w:jc w:val="center"/>
        <w:rPr>
          <w:rFonts w:ascii="宋体" w:hAnsi="宋体"/>
          <w:sz w:val="24"/>
        </w:rPr>
      </w:pPr>
    </w:p>
    <w:p w14:paraId="5739CA1F">
      <w:pPr>
        <w:spacing w:line="360" w:lineRule="auto"/>
        <w:jc w:val="center"/>
        <w:rPr>
          <w:rFonts w:hint="eastAsia" w:ascii="方正小标宋简体" w:hAnsi="宋体" w:eastAsia="方正小标宋简体"/>
          <w:sz w:val="44"/>
          <w:szCs w:val="44"/>
        </w:rPr>
      </w:pPr>
      <w:r>
        <w:rPr>
          <w:rFonts w:ascii="方正小标宋简体" w:hAnsi="宋体" w:eastAsia="方正小标宋简体"/>
          <w:sz w:val="44"/>
          <w:szCs w:val="44"/>
        </w:rPr>
        <w:t>2023</w:t>
      </w:r>
      <w:r>
        <w:rPr>
          <w:rFonts w:hint="eastAsia" w:ascii="方正小标宋简体" w:hAnsi="宋体" w:eastAsia="方正小标宋简体"/>
          <w:sz w:val="44"/>
          <w:szCs w:val="44"/>
        </w:rPr>
        <w:t>年度赤峰市工业和数字经济产业促进</w:t>
      </w:r>
    </w:p>
    <w:p w14:paraId="416F69E8">
      <w:pPr>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中心</w:t>
      </w:r>
      <w:r>
        <w:rPr>
          <w:rFonts w:hint="eastAsia" w:ascii="方正小标宋简体" w:hAnsi="宋体" w:eastAsia="方正小标宋简体"/>
          <w:sz w:val="44"/>
          <w:szCs w:val="44"/>
          <w:lang w:val="en-US" w:eastAsia="zh-CN"/>
        </w:rPr>
        <w:t>单位</w:t>
      </w:r>
      <w:r>
        <w:rPr>
          <w:rFonts w:hint="eastAsia" w:ascii="方正小标宋简体" w:hAnsi="宋体" w:eastAsia="方正小标宋简体"/>
          <w:sz w:val="44"/>
          <w:szCs w:val="44"/>
        </w:rPr>
        <w:t>决算公开</w:t>
      </w:r>
    </w:p>
    <w:p w14:paraId="02811E59">
      <w:pPr>
        <w:spacing w:line="360" w:lineRule="auto"/>
        <w:jc w:val="center"/>
        <w:rPr>
          <w:rFonts w:ascii="宋体" w:hAnsi="宋体"/>
          <w:b/>
          <w:bCs/>
          <w:sz w:val="52"/>
          <w:szCs w:val="52"/>
        </w:rPr>
      </w:pPr>
    </w:p>
    <w:p w14:paraId="1421588F">
      <w:pPr>
        <w:spacing w:line="360" w:lineRule="auto"/>
        <w:jc w:val="center"/>
        <w:rPr>
          <w:rFonts w:ascii="宋体" w:hAnsi="宋体"/>
          <w:b/>
          <w:bCs/>
          <w:sz w:val="52"/>
          <w:szCs w:val="52"/>
        </w:rPr>
      </w:pPr>
    </w:p>
    <w:p w14:paraId="05AAC1A8">
      <w:pPr>
        <w:spacing w:line="360" w:lineRule="auto"/>
        <w:jc w:val="center"/>
        <w:rPr>
          <w:rFonts w:ascii="宋体" w:hAnsi="宋体"/>
          <w:b/>
          <w:bCs/>
          <w:sz w:val="52"/>
          <w:szCs w:val="52"/>
        </w:rPr>
      </w:pPr>
    </w:p>
    <w:p w14:paraId="0CF30808">
      <w:pPr>
        <w:spacing w:line="360" w:lineRule="auto"/>
        <w:jc w:val="center"/>
        <w:rPr>
          <w:rFonts w:ascii="宋体" w:hAnsi="宋体"/>
          <w:b/>
          <w:bCs/>
          <w:sz w:val="52"/>
          <w:szCs w:val="52"/>
        </w:rPr>
      </w:pPr>
    </w:p>
    <w:p w14:paraId="2FFEAAE5">
      <w:pPr>
        <w:spacing w:line="360" w:lineRule="auto"/>
        <w:jc w:val="center"/>
        <w:rPr>
          <w:rFonts w:ascii="宋体" w:hAnsi="宋体"/>
          <w:b/>
          <w:bCs/>
          <w:sz w:val="52"/>
          <w:szCs w:val="52"/>
        </w:rPr>
      </w:pPr>
    </w:p>
    <w:p w14:paraId="6C7F6373">
      <w:pPr>
        <w:spacing w:line="360" w:lineRule="auto"/>
        <w:jc w:val="both"/>
        <w:rPr>
          <w:rFonts w:ascii="宋体" w:hAnsi="宋体"/>
          <w:b/>
          <w:bCs/>
          <w:sz w:val="52"/>
          <w:szCs w:val="52"/>
        </w:rPr>
      </w:pPr>
    </w:p>
    <w:p w14:paraId="185C35EB">
      <w:pPr>
        <w:pStyle w:val="20"/>
        <w:spacing w:after="0" w:line="600" w:lineRule="exact"/>
        <w:ind w:firstLine="1920" w:firstLineChars="600"/>
        <w:jc w:val="both"/>
        <w:rPr>
          <w:rFonts w:ascii="黑体" w:hAnsi="黑体" w:eastAsia="黑体" w:cs="黑体"/>
          <w:szCs w:val="21"/>
        </w:rPr>
      </w:pPr>
      <w:r>
        <w:rPr>
          <w:rFonts w:hint="eastAsia" w:ascii="黑体" w:hAnsi="黑体" w:eastAsia="黑体" w:cs="黑体"/>
          <w:sz w:val="32"/>
          <w:szCs w:val="32"/>
        </w:rPr>
        <w:t>批复时间：</w:t>
      </w:r>
      <w:r>
        <w:rPr>
          <w:rFonts w:hint="eastAsia" w:ascii="黑体" w:hAnsi="黑体" w:eastAsia="黑体" w:cs="黑体"/>
          <w:sz w:val="32"/>
          <w:szCs w:val="32"/>
          <w:u w:val="single"/>
        </w:rPr>
        <w:t xml:space="preserve"> </w:t>
      </w:r>
      <w:r>
        <w:rPr>
          <w:rFonts w:hint="default" w:ascii="黑体" w:hAnsi="黑体" w:eastAsia="黑体" w:cs="黑体"/>
          <w:sz w:val="32"/>
          <w:szCs w:val="32"/>
          <w:u w:val="single"/>
          <w:lang w:val="en-US"/>
        </w:rPr>
        <w:t>2024</w:t>
      </w:r>
      <w:r>
        <w:rPr>
          <w:rFonts w:hint="eastAsia" w:ascii="黑体" w:hAnsi="黑体" w:eastAsia="黑体" w:cs="黑体"/>
          <w:sz w:val="32"/>
          <w:szCs w:val="32"/>
          <w:u w:val="single"/>
        </w:rPr>
        <w:t xml:space="preserve">年 </w:t>
      </w:r>
      <w:r>
        <w:rPr>
          <w:rFonts w:hint="default" w:ascii="黑体" w:hAnsi="黑体" w:eastAsia="黑体" w:cs="黑体"/>
          <w:sz w:val="32"/>
          <w:szCs w:val="32"/>
          <w:u w:val="single"/>
          <w:lang w:val="en-US"/>
        </w:rPr>
        <w:t>0</w:t>
      </w:r>
      <w:r>
        <w:rPr>
          <w:rFonts w:hint="eastAsia" w:ascii="黑体" w:hAnsi="黑体" w:eastAsia="黑体" w:cs="黑体"/>
          <w:sz w:val="32"/>
          <w:szCs w:val="32"/>
          <w:u w:val="single"/>
          <w:lang w:val="en-US" w:eastAsia="zh-CN"/>
        </w:rPr>
        <w:t>7</w:t>
      </w:r>
      <w:r>
        <w:rPr>
          <w:rFonts w:hint="eastAsia" w:ascii="黑体" w:hAnsi="黑体" w:eastAsia="黑体" w:cs="黑体"/>
          <w:sz w:val="32"/>
          <w:szCs w:val="32"/>
          <w:u w:val="single"/>
        </w:rPr>
        <w:t xml:space="preserve">月 </w:t>
      </w:r>
      <w:r>
        <w:rPr>
          <w:rFonts w:hint="eastAsia" w:ascii="黑体" w:hAnsi="黑体" w:eastAsia="黑体" w:cs="黑体"/>
          <w:sz w:val="32"/>
          <w:szCs w:val="32"/>
          <w:u w:val="single"/>
          <w:lang w:val="en-US" w:eastAsia="zh-CN"/>
        </w:rPr>
        <w:t>17</w:t>
      </w:r>
      <w:r>
        <w:rPr>
          <w:rFonts w:hint="eastAsia" w:ascii="黑体" w:hAnsi="黑体" w:eastAsia="黑体" w:cs="黑体"/>
          <w:sz w:val="32"/>
          <w:szCs w:val="32"/>
          <w:u w:val="single"/>
        </w:rPr>
        <w:t>日</w:t>
      </w:r>
    </w:p>
    <w:p w14:paraId="7A7C5658">
      <w:pPr>
        <w:pStyle w:val="20"/>
        <w:spacing w:after="0" w:line="600" w:lineRule="exact"/>
        <w:ind w:firstLine="1920" w:firstLineChars="600"/>
        <w:jc w:val="both"/>
        <w:rPr>
          <w:rFonts w:hint="eastAsia" w:ascii="黑体" w:hAnsi="黑体" w:eastAsia="黑体" w:cs="黑体"/>
        </w:rPr>
      </w:pPr>
      <w:r>
        <w:rPr>
          <w:rFonts w:hint="eastAsia" w:ascii="黑体" w:hAnsi="黑体" w:eastAsia="黑体" w:cs="黑体"/>
          <w:sz w:val="32"/>
          <w:szCs w:val="32"/>
        </w:rPr>
        <w:t>公开时间：</w:t>
      </w:r>
      <w:r>
        <w:rPr>
          <w:rFonts w:hint="eastAsia" w:ascii="黑体" w:hAnsi="黑体" w:eastAsia="黑体" w:cs="黑体"/>
          <w:sz w:val="32"/>
          <w:szCs w:val="32"/>
          <w:u w:val="single"/>
        </w:rPr>
        <w:t xml:space="preserve"> </w:t>
      </w:r>
      <w:r>
        <w:rPr>
          <w:rFonts w:hint="default" w:ascii="黑体" w:hAnsi="黑体" w:eastAsia="黑体" w:cs="黑体"/>
          <w:sz w:val="32"/>
          <w:szCs w:val="32"/>
          <w:u w:val="single"/>
          <w:lang w:val="en-US"/>
        </w:rPr>
        <w:t>2024</w:t>
      </w:r>
      <w:r>
        <w:rPr>
          <w:rFonts w:hint="eastAsia" w:ascii="黑体" w:hAnsi="黑体" w:eastAsia="黑体" w:cs="黑体"/>
          <w:sz w:val="32"/>
          <w:szCs w:val="32"/>
          <w:u w:val="single"/>
        </w:rPr>
        <w:t xml:space="preserve">年 </w:t>
      </w:r>
      <w:r>
        <w:rPr>
          <w:rFonts w:hint="default" w:ascii="黑体" w:hAnsi="黑体" w:eastAsia="黑体" w:cs="黑体"/>
          <w:sz w:val="32"/>
          <w:szCs w:val="32"/>
          <w:u w:val="single"/>
          <w:lang w:val="en-US"/>
        </w:rPr>
        <w:t>0</w:t>
      </w:r>
      <w:r>
        <w:rPr>
          <w:rFonts w:hint="eastAsia" w:ascii="黑体" w:hAnsi="黑体" w:eastAsia="黑体" w:cs="黑体"/>
          <w:sz w:val="32"/>
          <w:szCs w:val="32"/>
          <w:u w:val="single"/>
          <w:lang w:val="en-US" w:eastAsia="zh-CN"/>
        </w:rPr>
        <w:t>7</w:t>
      </w:r>
      <w:r>
        <w:rPr>
          <w:rFonts w:hint="eastAsia" w:ascii="黑体" w:hAnsi="黑体" w:eastAsia="黑体" w:cs="黑体"/>
          <w:sz w:val="32"/>
          <w:szCs w:val="32"/>
          <w:u w:val="single"/>
        </w:rPr>
        <w:t xml:space="preserve"> 月</w:t>
      </w:r>
      <w:r>
        <w:rPr>
          <w:rFonts w:hint="eastAsia" w:ascii="黑体" w:hAnsi="黑体" w:eastAsia="黑体" w:cs="黑体"/>
          <w:sz w:val="32"/>
          <w:szCs w:val="32"/>
          <w:u w:val="single"/>
          <w:lang w:val="en-US" w:eastAsia="zh-CN"/>
        </w:rPr>
        <w:t>30</w:t>
      </w:r>
      <w:r>
        <w:rPr>
          <w:rFonts w:hint="eastAsia" w:ascii="黑体" w:hAnsi="黑体" w:eastAsia="黑体" w:cs="黑体"/>
          <w:sz w:val="32"/>
          <w:szCs w:val="32"/>
          <w:u w:val="single"/>
        </w:rPr>
        <w:t>日</w:t>
      </w:r>
    </w:p>
    <w:p w14:paraId="58AA7CCB">
      <w:pPr>
        <w:ind w:firstLine="2249" w:firstLineChars="700"/>
        <w:rPr>
          <w:rFonts w:hint="default" w:ascii="仿宋" w:hAnsi="仿宋" w:eastAsia="仿宋"/>
          <w:b/>
          <w:sz w:val="32"/>
          <w:szCs w:val="32"/>
          <w:lang w:val="en-US" w:eastAsia="zh-CN"/>
        </w:rPr>
        <w:sectPr>
          <w:footerReference r:id="rId3" w:type="default"/>
          <w:pgSz w:w="11906" w:h="16838"/>
          <w:pgMar w:top="2098" w:right="1474" w:bottom="1984" w:left="1474" w:header="0" w:footer="720" w:gutter="0"/>
          <w:cols w:space="425" w:num="1"/>
          <w:docGrid w:type="lines" w:linePitch="312" w:charSpace="0"/>
        </w:sectPr>
      </w:pPr>
      <w:r>
        <w:rPr>
          <w:rFonts w:hint="eastAsia" w:ascii="仿宋" w:hAnsi="仿宋" w:eastAsia="仿宋"/>
          <w:b/>
          <w:sz w:val="32"/>
          <w:szCs w:val="32"/>
          <w:lang w:val="en-US" w:eastAsia="zh-CN"/>
        </w:rPr>
        <w:t xml:space="preserve">  </w:t>
      </w:r>
    </w:p>
    <w:p w14:paraId="0BA1181F">
      <w:pPr>
        <w:adjustRightInd w:val="0"/>
        <w:snapToGrid w:val="0"/>
        <w:spacing w:beforeLines="100" w:afterLines="100" w:line="570" w:lineRule="exact"/>
        <w:ind w:firstLine="4320" w:firstLineChars="1200"/>
        <w:jc w:val="both"/>
        <w:outlineLvl w:val="0"/>
        <w:rPr>
          <w:rFonts w:hint="eastAsia" w:ascii="方正小标宋简体" w:hAnsi="黑体" w:eastAsia="方正小标宋简体"/>
          <w:color w:val="000000"/>
          <w:sz w:val="36"/>
          <w:szCs w:val="36"/>
        </w:rPr>
      </w:pPr>
      <w:bookmarkStart w:id="0" w:name="a000"/>
      <w:r>
        <w:rPr>
          <w:rFonts w:ascii="方正小标宋简体" w:hAnsi="黑体" w:eastAsia="方正小标宋简体"/>
          <w:color w:val="000000"/>
          <w:sz w:val="36"/>
          <w:szCs w:val="36"/>
        </w:rPr>
        <w:t>目 录</w:t>
      </w:r>
    </w:p>
    <w:p w14:paraId="650364AB">
      <w:pPr>
        <w:adjustRightInd w:val="0"/>
        <w:snapToGrid w:val="0"/>
        <w:spacing w:line="570" w:lineRule="exact"/>
        <w:jc w:val="left"/>
        <w:rPr>
          <w:rFonts w:ascii="黑体" w:hAnsi="黑体" w:eastAsia="黑体"/>
          <w:color w:val="000000"/>
          <w:sz w:val="32"/>
          <w:szCs w:val="32"/>
        </w:rPr>
      </w:pPr>
      <w:r>
        <w:rPr>
          <w:rFonts w:ascii="黑体" w:hAnsi="黑体" w:eastAsia="黑体"/>
          <w:color w:val="000000"/>
          <w:sz w:val="32"/>
          <w:szCs w:val="32"/>
        </w:rPr>
        <w:t>第一部分 单位概况</w:t>
      </w:r>
    </w:p>
    <w:p w14:paraId="1352A85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一、主要职能、职责</w:t>
      </w:r>
    </w:p>
    <w:p w14:paraId="1BC7794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二、单位机构设置及决算单位构成情况</w:t>
      </w:r>
    </w:p>
    <w:p w14:paraId="2F39974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三、2023年度单位主要工作完成情况</w:t>
      </w:r>
    </w:p>
    <w:p w14:paraId="1DDA3C69">
      <w:pPr>
        <w:adjustRightInd w:val="0"/>
        <w:snapToGrid w:val="0"/>
        <w:spacing w:line="570" w:lineRule="exact"/>
        <w:jc w:val="left"/>
        <w:rPr>
          <w:rFonts w:ascii="黑体" w:hAnsi="黑体" w:eastAsia="黑体"/>
          <w:color w:val="000000"/>
          <w:sz w:val="32"/>
          <w:szCs w:val="32"/>
        </w:rPr>
      </w:pPr>
      <w:r>
        <w:rPr>
          <w:rFonts w:ascii="黑体" w:hAnsi="黑体" w:eastAsia="黑体"/>
          <w:color w:val="000000"/>
          <w:sz w:val="32"/>
          <w:szCs w:val="32"/>
        </w:rPr>
        <w:t>第二部分 单位决算情况说明</w:t>
      </w:r>
    </w:p>
    <w:p w14:paraId="3B2A12C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一、收入支出决算总体情况说明</w:t>
      </w:r>
    </w:p>
    <w:p w14:paraId="261E5A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二、收入决算情况说明</w:t>
      </w:r>
    </w:p>
    <w:p w14:paraId="30A74E5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三、支出决算情况说明</w:t>
      </w:r>
    </w:p>
    <w:p w14:paraId="0CDA46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四、财政拨款收入支出决算总体情况说明</w:t>
      </w:r>
    </w:p>
    <w:p w14:paraId="7BF05C7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五、一般公共预算财政拨款支出决算情况说明</w:t>
      </w:r>
    </w:p>
    <w:p w14:paraId="4DE4F2A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六、一般公共预算财政拨款基本支出决算情况说明</w:t>
      </w:r>
    </w:p>
    <w:p w14:paraId="5C1B4EE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七、一般公共预算财政拨款项目支出决算情况说明</w:t>
      </w:r>
    </w:p>
    <w:p w14:paraId="146CAAA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八、财政拨款“三公”经费支出决算情况说明</w:t>
      </w:r>
    </w:p>
    <w:p w14:paraId="6605881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九、政府性基金预算财政拨款支出决算情况说明</w:t>
      </w:r>
    </w:p>
    <w:p w14:paraId="2E9EBE2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十、国有资本经营预算财政拨款支出决算情况说明</w:t>
      </w:r>
    </w:p>
    <w:p w14:paraId="2B3C1C5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十一、机构运行经费支出决算情况说明</w:t>
      </w:r>
    </w:p>
    <w:p w14:paraId="667747D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十二、政府采购支出决算情况说明</w:t>
      </w:r>
    </w:p>
    <w:p w14:paraId="0DE6F63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十三、国有资产占用情况说明</w:t>
      </w:r>
    </w:p>
    <w:p w14:paraId="6AA6BC0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十四、预算绩效情况说明</w:t>
      </w:r>
    </w:p>
    <w:p w14:paraId="1E6AB76A">
      <w:pPr>
        <w:adjustRightInd w:val="0"/>
        <w:snapToGrid w:val="0"/>
        <w:spacing w:line="570" w:lineRule="exact"/>
        <w:jc w:val="left"/>
        <w:rPr>
          <w:rFonts w:ascii="黑体" w:hAnsi="黑体" w:eastAsia="黑体"/>
          <w:color w:val="000000"/>
          <w:sz w:val="32"/>
          <w:szCs w:val="32"/>
        </w:rPr>
      </w:pPr>
      <w:r>
        <w:rPr>
          <w:rFonts w:ascii="黑体" w:hAnsi="黑体" w:eastAsia="黑体"/>
          <w:color w:val="000000"/>
          <w:sz w:val="32"/>
          <w:szCs w:val="32"/>
        </w:rPr>
        <w:t>第三部分 名词解释</w:t>
      </w:r>
    </w:p>
    <w:p w14:paraId="49F2518A">
      <w:pPr>
        <w:adjustRightInd w:val="0"/>
        <w:snapToGrid w:val="0"/>
        <w:spacing w:line="570" w:lineRule="exact"/>
        <w:jc w:val="left"/>
        <w:rPr>
          <w:rFonts w:ascii="黑体" w:hAnsi="黑体" w:eastAsia="黑体"/>
          <w:color w:val="000000"/>
          <w:sz w:val="32"/>
          <w:szCs w:val="32"/>
        </w:rPr>
      </w:pPr>
      <w:r>
        <w:rPr>
          <w:rFonts w:ascii="黑体" w:hAnsi="黑体" w:eastAsia="黑体"/>
          <w:color w:val="000000"/>
          <w:sz w:val="32"/>
          <w:szCs w:val="32"/>
        </w:rPr>
        <w:t>第四部分 决算公开联系方式及信息反馈渠道</w:t>
      </w:r>
    </w:p>
    <w:p w14:paraId="5AC33293">
      <w:pPr>
        <w:adjustRightInd w:val="0"/>
        <w:snapToGrid w:val="0"/>
        <w:spacing w:line="570" w:lineRule="exact"/>
        <w:jc w:val="left"/>
        <w:rPr>
          <w:rFonts w:ascii="黑体" w:hAnsi="黑体" w:eastAsia="黑体"/>
          <w:color w:val="000000"/>
          <w:sz w:val="32"/>
          <w:szCs w:val="32"/>
        </w:rPr>
      </w:pPr>
      <w:r>
        <w:rPr>
          <w:rFonts w:ascii="黑体" w:hAnsi="黑体" w:eastAsia="黑体"/>
          <w:color w:val="000000"/>
          <w:sz w:val="32"/>
          <w:szCs w:val="32"/>
        </w:rPr>
        <w:t>第五部分</w:t>
      </w:r>
      <w:r>
        <w:rPr>
          <w:rFonts w:hint="eastAsia" w:ascii="黑体" w:hAnsi="黑体" w:eastAsia="黑体"/>
          <w:color w:val="000000"/>
          <w:sz w:val="32"/>
          <w:szCs w:val="32"/>
        </w:rPr>
        <w:t xml:space="preserve"> </w:t>
      </w:r>
      <w:r>
        <w:rPr>
          <w:rFonts w:ascii="黑体" w:hAnsi="黑体" w:eastAsia="黑体"/>
          <w:color w:val="000000"/>
          <w:sz w:val="32"/>
          <w:szCs w:val="32"/>
        </w:rPr>
        <w:t>单位决算表</w:t>
      </w:r>
    </w:p>
    <w:p w14:paraId="4DDFF6D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一、收入支出决算总表</w:t>
      </w:r>
    </w:p>
    <w:p w14:paraId="003340A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二、收入决算表</w:t>
      </w:r>
    </w:p>
    <w:p w14:paraId="7AAAAD3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三、支出决算表</w:t>
      </w:r>
    </w:p>
    <w:p w14:paraId="4DC0914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四、财政拨款收入支出决算总表</w:t>
      </w:r>
    </w:p>
    <w:p w14:paraId="6421789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五、一般公共预算财政拨款支出决算表</w:t>
      </w:r>
    </w:p>
    <w:p w14:paraId="1F57C4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六、一般公共预算财政拨款基本支出决算明细表</w:t>
      </w:r>
    </w:p>
    <w:p w14:paraId="1E07187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七、一般公共预算财政拨款项目支出决算明细表</w:t>
      </w:r>
    </w:p>
    <w:p w14:paraId="05E858C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八、政府性基金预算财政拨款收入支出决算表</w:t>
      </w:r>
    </w:p>
    <w:p w14:paraId="3AAB4BE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九、国有资本经营预算财政拨款支出决算表</w:t>
      </w:r>
    </w:p>
    <w:p w14:paraId="13CCD15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十、财政拨款“三公”经费支出决算表</w:t>
      </w:r>
    </w:p>
    <w:p w14:paraId="60E9B21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黑体" w:eastAsia="楷体_GB2312"/>
          <w:color w:val="000000"/>
          <w:sz w:val="32"/>
          <w:szCs w:val="32"/>
        </w:rPr>
      </w:pPr>
      <w:r>
        <w:rPr>
          <w:rFonts w:ascii="楷体_GB2312" w:hAnsi="黑体" w:eastAsia="楷体_GB2312"/>
          <w:color w:val="000000"/>
          <w:sz w:val="32"/>
          <w:szCs w:val="32"/>
        </w:rPr>
        <w:t>十一、机构运行经费支出、国有资产占用情况及政府采购支出信息表</w:t>
      </w:r>
    </w:p>
    <w:p w14:paraId="2DB61E8C">
      <w:pPr>
        <w:widowControl/>
        <w:spacing w:before="240" w:after="240"/>
        <w:rPr>
          <w:rFonts w:hint="eastAsia" w:ascii="fang_song_gb2312" w:hAnsi="fang_song_gb2312" w:cs="fang_song_gb2312" w:eastAsiaTheme="minorEastAsia"/>
          <w:color w:val="0E00FE"/>
          <w:kern w:val="0"/>
          <w:sz w:val="27"/>
          <w:szCs w:val="27"/>
        </w:rPr>
      </w:pPr>
    </w:p>
    <w:p w14:paraId="5625BDB9">
      <w:pPr>
        <w:widowControl/>
        <w:spacing w:before="240" w:after="240"/>
        <w:rPr>
          <w:rFonts w:hint="eastAsia" w:ascii="fang_song_gb2312" w:hAnsi="fang_song_gb2312" w:cs="fang_song_gb2312" w:eastAsiaTheme="minorEastAsia"/>
          <w:color w:val="0E00FE"/>
          <w:kern w:val="0"/>
          <w:sz w:val="27"/>
          <w:szCs w:val="27"/>
        </w:rPr>
      </w:pPr>
    </w:p>
    <w:p w14:paraId="583FE212">
      <w:pPr>
        <w:widowControl/>
        <w:spacing w:before="240" w:after="240"/>
        <w:rPr>
          <w:rFonts w:hint="eastAsia" w:ascii="fang_song_gb2312" w:hAnsi="fang_song_gb2312" w:cs="fang_song_gb2312" w:eastAsiaTheme="minorEastAsia"/>
          <w:color w:val="0E00FE"/>
          <w:kern w:val="0"/>
          <w:sz w:val="27"/>
          <w:szCs w:val="27"/>
        </w:rPr>
      </w:pPr>
    </w:p>
    <w:p w14:paraId="2F08662B">
      <w:pPr>
        <w:widowControl/>
        <w:spacing w:before="240" w:after="240"/>
        <w:rPr>
          <w:rFonts w:hint="eastAsia" w:ascii="fang_song_gb2312" w:hAnsi="fang_song_gb2312" w:cs="fang_song_gb2312" w:eastAsiaTheme="minorEastAsia"/>
          <w:color w:val="0E00FE"/>
          <w:kern w:val="0"/>
          <w:sz w:val="27"/>
          <w:szCs w:val="27"/>
        </w:rPr>
      </w:pPr>
    </w:p>
    <w:p w14:paraId="62C63C8D">
      <w:pPr>
        <w:widowControl/>
        <w:spacing w:before="240" w:after="240"/>
        <w:rPr>
          <w:rFonts w:eastAsiaTheme="minorEastAsia"/>
          <w:kern w:val="0"/>
          <w:sz w:val="24"/>
        </w:rPr>
      </w:pPr>
    </w:p>
    <w:p w14:paraId="3E743E0F">
      <w:pPr>
        <w:adjustRightInd w:val="0"/>
        <w:snapToGrid w:val="0"/>
        <w:spacing w:beforeLines="100" w:afterLines="100" w:line="570" w:lineRule="exact"/>
        <w:jc w:val="center"/>
        <w:outlineLvl w:val="0"/>
        <w:rPr>
          <w:rFonts w:ascii="方正小标宋简体" w:hAnsi="黑体" w:eastAsia="方正小标宋简体"/>
          <w:color w:val="000000"/>
          <w:sz w:val="36"/>
          <w:szCs w:val="36"/>
        </w:rPr>
      </w:pPr>
      <w:r>
        <w:rPr>
          <w:rFonts w:ascii="方正小标宋简体" w:hAnsi="黑体" w:eastAsia="方正小标宋简体"/>
          <w:color w:val="000000"/>
          <w:sz w:val="36"/>
          <w:szCs w:val="36"/>
        </w:rPr>
        <w:t>第一部分</w:t>
      </w:r>
      <w:r>
        <w:rPr>
          <w:rFonts w:hint="eastAsia" w:ascii="方正小标宋简体" w:hAnsi="黑体" w:eastAsia="方正小标宋简体"/>
          <w:color w:val="000000"/>
          <w:sz w:val="36"/>
          <w:szCs w:val="36"/>
        </w:rPr>
        <w:t xml:space="preserve"> </w:t>
      </w:r>
      <w:r>
        <w:rPr>
          <w:rFonts w:ascii="方正小标宋简体" w:hAnsi="黑体" w:eastAsia="方正小标宋简体"/>
          <w:color w:val="000000"/>
          <w:sz w:val="36"/>
          <w:szCs w:val="36"/>
        </w:rPr>
        <w:t>单位概况</w:t>
      </w:r>
    </w:p>
    <w:p w14:paraId="27EE45C0">
      <w:pPr>
        <w:snapToGrid w:val="0"/>
        <w:spacing w:line="570" w:lineRule="exact"/>
        <w:ind w:firstLine="640" w:firstLineChars="200"/>
        <w:outlineLvl w:val="1"/>
        <w:rPr>
          <w:rFonts w:eastAsia="Times New Roman"/>
          <w:kern w:val="0"/>
          <w:sz w:val="24"/>
        </w:rPr>
      </w:pPr>
      <w:r>
        <w:rPr>
          <w:rFonts w:ascii="黑体" w:hAnsi="黑体" w:eastAsia="黑体"/>
          <w:color w:val="000000"/>
          <w:sz w:val="32"/>
          <w:szCs w:val="32"/>
        </w:rPr>
        <w:t>一、主要职能、职责</w:t>
      </w:r>
    </w:p>
    <w:p w14:paraId="2DDB12CA">
      <w:pPr>
        <w:keepNext w:val="0"/>
        <w:keepLines w:val="0"/>
        <w:pageBreakBefore w:val="0"/>
        <w:widowControl w:val="0"/>
        <w:kinsoku/>
        <w:wordWrap/>
        <w:overflowPunct/>
        <w:topLinePunct w:val="0"/>
        <w:autoSpaceDE/>
        <w:autoSpaceDN/>
        <w:bidi w:val="0"/>
        <w:adjustRightInd/>
        <w:snapToGrid w:val="0"/>
        <w:spacing w:line="580" w:lineRule="exact"/>
        <w:ind w:firstLine="540" w:firstLineChars="200"/>
        <w:textAlignment w:val="auto"/>
        <w:rPr>
          <w:rFonts w:ascii="仿宋_GB2312" w:eastAsia="仿宋_GB2312"/>
          <w:sz w:val="32"/>
          <w:szCs w:val="32"/>
        </w:rPr>
      </w:pPr>
      <w:r>
        <w:rPr>
          <w:rFonts w:ascii="fang_song_gb2312" w:hAnsi="fang_song_gb2312" w:eastAsia="fang_song_gb2312" w:cs="fang_song_gb2312"/>
          <w:color w:val="0E00FE"/>
          <w:kern w:val="0"/>
          <w:sz w:val="27"/>
          <w:szCs w:val="27"/>
        </w:rPr>
        <w:t> </w:t>
      </w:r>
      <w:r>
        <w:rPr>
          <w:rFonts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负责开展工业和信息化发展状况调查，参与工业和信息化领域相关课题研究，并提出政策建议。</w:t>
      </w:r>
    </w:p>
    <w:p w14:paraId="5A49BD7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负责主导数字产业化、产业数字化和数字技术研发应用相关工作。负责数字经济发展运行态势监测、分析和评估相关工作。协助开展两化融合、工业互联网、软件和信息技术服务业发展等工作。</w:t>
      </w:r>
    </w:p>
    <w:p w14:paraId="40F6D2B1">
      <w:pPr>
        <w:keepNext w:val="0"/>
        <w:keepLines w:val="0"/>
        <w:pageBreakBefore w:val="0"/>
        <w:widowControl w:val="0"/>
        <w:tabs>
          <w:tab w:val="left" w:pos="8820"/>
        </w:tabs>
        <w:kinsoku/>
        <w:wordWrap/>
        <w:overflowPunct/>
        <w:topLinePunct w:val="0"/>
        <w:autoSpaceDE/>
        <w:autoSpaceDN/>
        <w:bidi w:val="0"/>
        <w:adjustRightInd/>
        <w:snapToGrid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负责协助落实自治区、赤峰市工业节能中长期规划、专项规划以及相关配套政策。负责宣传推广工业行业节能新技术、新产品、新方法和新措施。承担赤峰市重点用能工业企业日常监察和国家重大工业专项节能监察的相关辅助性工作。</w:t>
      </w:r>
    </w:p>
    <w:p w14:paraId="7952E03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承担全市重点工业企业能源消耗统计技术支撑工作。承担对节能法律法规和节能标准执行情况进行监督检查的行政辅助性工作。承担工业领域节能监测并向有关方面提出意见。</w:t>
      </w:r>
    </w:p>
    <w:p w14:paraId="2D1A814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负责运营维护中小企业公共服务平台、中小微企业金融服务信用信息共享平台等工作。</w:t>
      </w:r>
    </w:p>
    <w:p w14:paraId="48E55F9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承担中小企业服务体系建设。协助开展中小企业示范平台和小微企业创业创新示范基地相关工作。协助开展全市中小企业对外交流与合作及产品展览活动。</w:t>
      </w:r>
    </w:p>
    <w:p w14:paraId="3614796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完成市工业和信息化局交办的其他任务。</w:t>
      </w:r>
    </w:p>
    <w:p w14:paraId="0ABDA624">
      <w:pPr>
        <w:snapToGrid w:val="0"/>
        <w:spacing w:line="570" w:lineRule="exact"/>
        <w:ind w:firstLine="540" w:firstLineChars="200"/>
        <w:rPr>
          <w:rFonts w:ascii="黑体" w:hAnsi="黑体" w:eastAsia="黑体"/>
          <w:color w:val="000000"/>
          <w:sz w:val="32"/>
          <w:szCs w:val="32"/>
        </w:rPr>
      </w:pPr>
      <w:r>
        <w:rPr>
          <w:rFonts w:ascii="黑体" w:hAnsi="黑体" w:eastAsia="黑体" w:cs="黑体"/>
          <w:b/>
          <w:bCs/>
          <w:kern w:val="0"/>
          <w:sz w:val="27"/>
          <w:szCs w:val="27"/>
        </w:rPr>
        <w:t xml:space="preserve"> </w:t>
      </w:r>
      <w:r>
        <w:rPr>
          <w:rFonts w:ascii="黑体" w:hAnsi="黑体" w:eastAsia="黑体"/>
          <w:color w:val="000000"/>
          <w:sz w:val="32"/>
          <w:szCs w:val="32"/>
        </w:rPr>
        <w:t>二、单位机构设置及决算单位构成情况</w:t>
      </w:r>
    </w:p>
    <w:p w14:paraId="7727BA19">
      <w:pPr>
        <w:keepNext w:val="0"/>
        <w:keepLines w:val="0"/>
        <w:pageBreakBefore w:val="0"/>
        <w:widowControl w:val="0"/>
        <w:kinsoku/>
        <w:wordWrap/>
        <w:overflowPunct/>
        <w:topLinePunct w:val="0"/>
        <w:autoSpaceDE/>
        <w:autoSpaceDN/>
        <w:bidi w:val="0"/>
        <w:adjustRightInd/>
        <w:snapToGrid w:val="0"/>
        <w:spacing w:line="580" w:lineRule="exact"/>
        <w:ind w:firstLine="540" w:firstLineChars="200"/>
        <w:textAlignment w:val="auto"/>
        <w:rPr>
          <w:rFonts w:ascii="仿宋_GB2312" w:eastAsia="仿宋_GB2312"/>
          <w:sz w:val="32"/>
          <w:szCs w:val="32"/>
        </w:rPr>
      </w:pPr>
      <w:r>
        <w:rPr>
          <w:rFonts w:ascii="times_new_roman" w:hAnsi="times_new_roman" w:eastAsia="times_new_roman" w:cs="times_new_roman"/>
          <w:kern w:val="0"/>
          <w:sz w:val="27"/>
          <w:szCs w:val="27"/>
        </w:rPr>
        <w:t> </w:t>
      </w:r>
      <w:r>
        <w:rPr>
          <w:rFonts w:ascii="仿宋_GB2312" w:eastAsia="仿宋_GB2312"/>
          <w:sz w:val="32"/>
          <w:szCs w:val="32"/>
        </w:rPr>
        <w:t> 1.根据单位职责分工，本单位内设机构</w:t>
      </w:r>
      <w:r>
        <w:rPr>
          <w:rFonts w:hint="eastAsia" w:ascii="仿宋_GB2312" w:eastAsia="仿宋_GB2312"/>
          <w:sz w:val="32"/>
          <w:szCs w:val="32"/>
        </w:rPr>
        <w:t>产业发展促进科、数字经济产业发展科、节能监测服务科和中小企业服务科。本单位无下属单位。</w:t>
      </w:r>
    </w:p>
    <w:p w14:paraId="1F1EA30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eastAsia="仿宋_GB2312"/>
          <w:sz w:val="32"/>
          <w:szCs w:val="32"/>
        </w:rPr>
      </w:pPr>
      <w:r>
        <w:rPr>
          <w:rFonts w:ascii="仿宋_GB2312" w:eastAsia="仿宋_GB2312"/>
          <w:sz w:val="32"/>
          <w:szCs w:val="32"/>
        </w:rPr>
        <w:t> 2.从决算单位构成看，纳入本财政汇总决算编制范围的预算单位共计</w:t>
      </w:r>
      <w:r>
        <w:rPr>
          <w:rFonts w:hint="eastAsia" w:ascii="仿宋_GB2312" w:eastAsia="仿宋_GB2312"/>
          <w:sz w:val="32"/>
          <w:szCs w:val="32"/>
        </w:rPr>
        <w:t>1</w:t>
      </w:r>
      <w:r>
        <w:rPr>
          <w:rFonts w:ascii="仿宋_GB2312" w:eastAsia="仿宋_GB2312"/>
          <w:sz w:val="32"/>
          <w:szCs w:val="32"/>
        </w:rPr>
        <w:t>家，具体包括：</w:t>
      </w:r>
      <w:r>
        <w:rPr>
          <w:rFonts w:hint="eastAsia" w:ascii="仿宋_GB2312" w:eastAsia="仿宋_GB2312"/>
          <w:sz w:val="32"/>
          <w:szCs w:val="32"/>
        </w:rPr>
        <w:t>赤峰市工业和数字经济产业促进中心</w:t>
      </w:r>
      <w:r>
        <w:rPr>
          <w:rFonts w:ascii="仿宋_GB2312" w:eastAsia="仿宋_GB2312"/>
          <w:sz w:val="32"/>
          <w:szCs w:val="32"/>
        </w:rPr>
        <w:t>。详细情况见表：</w:t>
      </w:r>
    </w:p>
    <w:tbl>
      <w:tblPr>
        <w:tblStyle w:val="21"/>
        <w:tblW w:w="4146"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385"/>
        <w:gridCol w:w="2920"/>
        <w:gridCol w:w="3159"/>
      </w:tblGrid>
      <w:tr w14:paraId="0E99A83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928" w:type="pct"/>
            <w:tcBorders>
              <w:bottom w:val="inset" w:color="808080" w:sz="6" w:space="0"/>
              <w:right w:val="inset" w:color="808080" w:sz="6" w:space="0"/>
            </w:tcBorders>
            <w:tcMar>
              <w:top w:w="22" w:type="dxa"/>
              <w:left w:w="22" w:type="dxa"/>
              <w:bottom w:w="22" w:type="dxa"/>
              <w:right w:w="22" w:type="dxa"/>
            </w:tcMar>
            <w:vAlign w:val="center"/>
          </w:tcPr>
          <w:p w14:paraId="2876FB25">
            <w:pPr>
              <w:widowControl/>
              <w:jc w:val="center"/>
              <w:rPr>
                <w:rFonts w:ascii="仿宋_GB2312" w:eastAsia="仿宋_GB2312"/>
                <w:sz w:val="32"/>
                <w:szCs w:val="32"/>
              </w:rPr>
            </w:pPr>
            <w:r>
              <w:rPr>
                <w:rFonts w:ascii="仿宋_GB2312" w:eastAsia="仿宋_GB2312"/>
                <w:sz w:val="32"/>
                <w:szCs w:val="32"/>
              </w:rPr>
              <w:t>序号</w:t>
            </w:r>
          </w:p>
        </w:tc>
        <w:tc>
          <w:tcPr>
            <w:tcW w:w="1956" w:type="pct"/>
            <w:tcBorders>
              <w:left w:val="inset" w:color="808080" w:sz="6" w:space="0"/>
              <w:bottom w:val="inset" w:color="808080" w:sz="6" w:space="0"/>
              <w:right w:val="inset" w:color="808080" w:sz="6" w:space="0"/>
            </w:tcBorders>
            <w:tcMar>
              <w:top w:w="22" w:type="dxa"/>
              <w:left w:w="22" w:type="dxa"/>
              <w:bottom w:w="22" w:type="dxa"/>
              <w:right w:w="22" w:type="dxa"/>
            </w:tcMar>
            <w:vAlign w:val="center"/>
          </w:tcPr>
          <w:p w14:paraId="6E355D0E">
            <w:pPr>
              <w:widowControl/>
              <w:jc w:val="center"/>
              <w:rPr>
                <w:rFonts w:ascii="仿宋_GB2312" w:eastAsia="仿宋_GB2312"/>
                <w:sz w:val="32"/>
                <w:szCs w:val="32"/>
              </w:rPr>
            </w:pPr>
            <w:r>
              <w:rPr>
                <w:rFonts w:ascii="仿宋_GB2312" w:eastAsia="仿宋_GB2312"/>
                <w:sz w:val="32"/>
                <w:szCs w:val="32"/>
              </w:rPr>
              <w:t>单位名称</w:t>
            </w:r>
          </w:p>
        </w:tc>
        <w:tc>
          <w:tcPr>
            <w:tcW w:w="2116" w:type="pct"/>
            <w:tcBorders>
              <w:left w:val="inset" w:color="808080" w:sz="6" w:space="0"/>
              <w:bottom w:val="inset" w:color="808080" w:sz="6" w:space="0"/>
            </w:tcBorders>
            <w:tcMar>
              <w:top w:w="22" w:type="dxa"/>
              <w:left w:w="22" w:type="dxa"/>
              <w:bottom w:w="22" w:type="dxa"/>
              <w:right w:w="22" w:type="dxa"/>
            </w:tcMar>
            <w:vAlign w:val="center"/>
          </w:tcPr>
          <w:p w14:paraId="19167381">
            <w:pPr>
              <w:widowControl/>
              <w:jc w:val="center"/>
              <w:rPr>
                <w:rFonts w:ascii="仿宋_GB2312" w:eastAsia="仿宋_GB2312"/>
                <w:sz w:val="32"/>
                <w:szCs w:val="32"/>
              </w:rPr>
            </w:pPr>
            <w:r>
              <w:rPr>
                <w:rFonts w:ascii="仿宋_GB2312" w:eastAsia="仿宋_GB2312"/>
                <w:sz w:val="32"/>
                <w:szCs w:val="32"/>
              </w:rPr>
              <w:t>单位性质</w:t>
            </w:r>
          </w:p>
        </w:tc>
      </w:tr>
      <w:tr w14:paraId="7BBDAE4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928" w:type="pct"/>
            <w:tcBorders>
              <w:top w:val="inset" w:color="808080" w:sz="6" w:space="0"/>
              <w:bottom w:val="inset" w:color="808080" w:sz="6" w:space="0"/>
              <w:right w:val="inset" w:color="808080" w:sz="6" w:space="0"/>
            </w:tcBorders>
            <w:tcMar>
              <w:top w:w="22" w:type="dxa"/>
              <w:left w:w="22" w:type="dxa"/>
              <w:bottom w:w="22" w:type="dxa"/>
              <w:right w:w="22" w:type="dxa"/>
            </w:tcMar>
            <w:vAlign w:val="center"/>
          </w:tcPr>
          <w:p w14:paraId="4761FE0A">
            <w:pPr>
              <w:widowControl/>
              <w:jc w:val="center"/>
              <w:rPr>
                <w:rFonts w:ascii="仿宋_GB2312" w:eastAsia="仿宋_GB2312"/>
                <w:sz w:val="32"/>
                <w:szCs w:val="32"/>
              </w:rPr>
            </w:pPr>
            <w:r>
              <w:rPr>
                <w:rFonts w:hint="eastAsia" w:ascii="仿宋_GB2312" w:eastAsia="仿宋_GB2312"/>
                <w:sz w:val="32"/>
                <w:szCs w:val="32"/>
              </w:rPr>
              <w:t>1</w:t>
            </w:r>
          </w:p>
        </w:tc>
        <w:tc>
          <w:tcPr>
            <w:tcW w:w="1956" w:type="pct"/>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099B37BE">
            <w:pPr>
              <w:widowControl/>
              <w:jc w:val="left"/>
              <w:rPr>
                <w:rFonts w:ascii="仿宋_GB2312" w:eastAsia="仿宋_GB2312"/>
                <w:sz w:val="32"/>
                <w:szCs w:val="32"/>
              </w:rPr>
            </w:pPr>
            <w:r>
              <w:rPr>
                <w:rFonts w:hint="eastAsia" w:ascii="仿宋_GB2312" w:eastAsia="仿宋_GB2312"/>
                <w:sz w:val="32"/>
                <w:szCs w:val="32"/>
              </w:rPr>
              <w:t>赤峰市工业和数字经济产业促进中心</w:t>
            </w:r>
          </w:p>
        </w:tc>
        <w:tc>
          <w:tcPr>
            <w:tcW w:w="2116" w:type="pct"/>
            <w:tcBorders>
              <w:top w:val="inset" w:color="808080" w:sz="6" w:space="0"/>
              <w:left w:val="inset" w:color="808080" w:sz="6" w:space="0"/>
              <w:bottom w:val="inset" w:color="808080" w:sz="6" w:space="0"/>
            </w:tcBorders>
            <w:tcMar>
              <w:top w:w="22" w:type="dxa"/>
              <w:left w:w="22" w:type="dxa"/>
              <w:bottom w:w="22" w:type="dxa"/>
              <w:right w:w="22" w:type="dxa"/>
            </w:tcMar>
            <w:vAlign w:val="center"/>
          </w:tcPr>
          <w:p w14:paraId="40D6C76C">
            <w:pPr>
              <w:widowControl/>
              <w:jc w:val="left"/>
              <w:rPr>
                <w:rFonts w:ascii="仿宋_GB2312" w:eastAsia="仿宋_GB2312"/>
                <w:sz w:val="32"/>
                <w:szCs w:val="32"/>
              </w:rPr>
            </w:pPr>
            <w:r>
              <w:rPr>
                <w:rFonts w:ascii="仿宋_GB2312" w:eastAsia="仿宋_GB2312"/>
                <w:sz w:val="32"/>
                <w:szCs w:val="32"/>
              </w:rPr>
              <w:t>公益一类事业单位</w:t>
            </w:r>
          </w:p>
        </w:tc>
      </w:tr>
    </w:tbl>
    <w:p w14:paraId="2C2A77FE">
      <w:pPr>
        <w:widowControl/>
        <w:spacing w:before="240" w:after="240"/>
        <w:jc w:val="left"/>
        <w:rPr>
          <w:rFonts w:ascii="fang_song_gb2312" w:hAnsi="fang_song_gb2312" w:eastAsia="fang_song_gb2312" w:cs="fang_song_gb2312"/>
          <w:color w:val="0E00FE"/>
          <w:kern w:val="0"/>
          <w:sz w:val="27"/>
          <w:szCs w:val="27"/>
        </w:rPr>
      </w:pPr>
      <w:r>
        <w:rPr>
          <w:rFonts w:ascii="fang_song_gb2312" w:hAnsi="fang_song_gb2312" w:eastAsia="fang_song_gb2312" w:cs="fang_song_gb2312"/>
          <w:color w:val="0E00FE"/>
          <w:kern w:val="0"/>
          <w:sz w:val="27"/>
          <w:szCs w:val="27"/>
        </w:rPr>
        <w:t>   </w:t>
      </w:r>
    </w:p>
    <w:p w14:paraId="0BBC5777">
      <w:pPr>
        <w:widowControl/>
        <w:spacing w:before="240" w:after="240"/>
        <w:ind w:firstLine="540" w:firstLineChars="200"/>
        <w:jc w:val="left"/>
        <w:rPr>
          <w:rFonts w:ascii="黑体" w:hAnsi="黑体" w:eastAsia="黑体"/>
          <w:color w:val="000000"/>
          <w:sz w:val="32"/>
          <w:szCs w:val="32"/>
        </w:rPr>
      </w:pPr>
      <w:r>
        <w:rPr>
          <w:rFonts w:ascii="黑体" w:hAnsi="黑体" w:eastAsia="黑体" w:cs="黑体"/>
          <w:b/>
          <w:bCs/>
          <w:kern w:val="0"/>
          <w:sz w:val="27"/>
          <w:szCs w:val="27"/>
        </w:rPr>
        <w:t xml:space="preserve"> </w:t>
      </w:r>
      <w:r>
        <w:rPr>
          <w:rFonts w:hint="eastAsia" w:ascii="黑体" w:hAnsi="黑体" w:eastAsia="黑体"/>
          <w:color w:val="000000"/>
          <w:sz w:val="32"/>
          <w:szCs w:val="32"/>
        </w:rPr>
        <w:t>三、</w:t>
      </w:r>
      <w:r>
        <w:rPr>
          <w:rFonts w:ascii="黑体" w:hAnsi="黑体" w:eastAsia="黑体"/>
          <w:color w:val="000000"/>
          <w:sz w:val="32"/>
          <w:szCs w:val="32"/>
        </w:rPr>
        <w:t>2023</w:t>
      </w:r>
      <w:r>
        <w:rPr>
          <w:rFonts w:hint="eastAsia" w:ascii="黑体" w:hAnsi="黑体" w:eastAsia="黑体"/>
          <w:color w:val="000000"/>
          <w:sz w:val="32"/>
          <w:szCs w:val="32"/>
        </w:rPr>
        <w:t>年度单位主要工作完成情况</w:t>
      </w:r>
    </w:p>
    <w:p w14:paraId="70FA53CA">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持续加强政策宣贯，推动政策落地。持续收集、梳理国家、自治区、我市支持、引导产业政策、扶持产业发展措施，分门别类，依托赤峰中小企业网、中小企业公共服务平台、微信公众号等线上媒体及时进行推送，让企业第一时间了解知晓，截至目前累计发布各类产业政策信息200多条，各类行业、产业动态等新闻信息1000余条。编发《中小企业政策汇编》、《数字经济政策汇编》600余册，为企业熟悉政策、享受政策红利提供便捷渠道。</w:t>
      </w:r>
    </w:p>
    <w:p w14:paraId="21B52315">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面对面开展企业服务，推动企业数字化转型发展。联合朗坤科技公司专家对红山区、翁牛特旗、敖汉旗等5个旗县区的食品加工类企业12家进行了面对面解标识解析政策宣传、知识解读、应用推介，并征集企业标识解析服务需求，为企业对接个性化标识解析服务。对全市50余家重点工业企业开展了实地调研，了解企业数字化发展进程、掌握企业在数字化发展过程中遇到的痛点、堵点，并提出下一步工作建议。对200余家企业进行了培训需求调查，征集企业在数字化方面的需求，以推动培训工作务实开展、取得实效。</w:t>
      </w:r>
    </w:p>
    <w:p w14:paraId="5789123B">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精准开展培训，企业发展能力持续提升。紧跟市委市政府中心工作，根据问卷调研、网络调查等方式了解的企业培训需求，围绕经济形势、产业发展、创新管理等内容，带领全市50家重点企业管理者走进天津大学，开展“赤峰市工业企业高质量发展能力素质提升”培训班。为进一步提升企业家数字经济思维、实践能力，赋能产业数字化，细致做好“数字经济和产业数字化转型与两化融合”培训班前期准备工作。</w:t>
      </w:r>
    </w:p>
    <w:p w14:paraId="09413314">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着力汇聚服务资源，平台服务能力持续提升。持续加强中小企业公共服务平台线上服务资源整合、聚合力度。截至目前，累计有160家社会化服务机构、422家中小企业入驻平台网络。持续完善赤峰市中小企业专家库，目前入库专家人数达129人，涵盖16大类70个专业，初步形成了行业门类齐全，专业配置合理，人员结构优化、理论与实战专家相结合的专家服务团队。依托专家库和服务资源，组织专家为企业开展精准服务和项目资金申请等评审服务9次。</w:t>
      </w:r>
    </w:p>
    <w:p w14:paraId="745C591E">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务实开展征信服务，打造诚信经营环境。充分发挥赤峰市中小微企业金融服务信用信息共享平台作用，进一步加强信用信息归集力度，累计归集企业、21家机关企事业单位等机构涉企信用信息4.5万余条。严格、规范的做好企业信用评价和信用报告出具工作，初步建立了以信用评价等级不同获得融资优惠政策支持不同的守信激励、失信惩戒的机制，有效助力了全市营商环境改善和企业诚信体系建设。监督第三方征信机构做好共享平台网站、系统运维工作，保障平台安全稳定运行，保证涉企信用信息数据安全。依托赤峰市中小微企业金融服务信用信息共享平台为企业出具征信报告，截止目前，累计为企业出具征信报告报告404份。</w:t>
      </w:r>
    </w:p>
    <w:p w14:paraId="1FFE8548">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务实落实驻村责任，持续助力乡村振兴。按照市委统一工作部署，精心选派驻村干部，从严把关选派2名优秀干部驻村开展工作。认真开展调研帮扶工作，为帮扶村捐赠铁锹口罩等物资，帮助村民树立健康卫生习惯，推动美丽乡村建设。</w:t>
      </w:r>
    </w:p>
    <w:p w14:paraId="38A86755">
      <w:pPr>
        <w:widowControl/>
        <w:spacing w:before="240" w:after="240"/>
        <w:jc w:val="left"/>
        <w:rPr>
          <w:rFonts w:eastAsia="Times New Roman"/>
          <w:kern w:val="0"/>
          <w:sz w:val="24"/>
        </w:rPr>
      </w:pPr>
    </w:p>
    <w:p w14:paraId="27E53AC2">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方正小标宋简体" w:hAnsi="黑体" w:eastAsia="方正小标宋简体" w:cs="Times New Roman"/>
          <w:b w:val="0"/>
          <w:bCs w:val="0"/>
          <w:color w:val="000000"/>
          <w:kern w:val="2"/>
          <w:sz w:val="36"/>
          <w:szCs w:val="36"/>
          <w:lang w:val="en-US" w:eastAsia="zh-CN" w:bidi="ar-SA"/>
        </w:rPr>
        <w:t>第二部分 单位决算情况说明</w:t>
      </w:r>
    </w:p>
    <w:p w14:paraId="5DBC266F">
      <w:pPr>
        <w:numPr>
          <w:ilvl w:val="0"/>
          <w:numId w:val="0"/>
        </w:numPr>
        <w:snapToGrid w:val="0"/>
        <w:spacing w:line="570" w:lineRule="exact"/>
        <w:ind w:left="675" w:leftChars="0"/>
        <w:outlineLvl w:val="1"/>
        <w:rPr>
          <w:rFonts w:ascii="黑体" w:hAnsi="黑体" w:eastAsia="黑体"/>
          <w:color w:val="000000"/>
          <w:sz w:val="32"/>
          <w:szCs w:val="32"/>
        </w:rPr>
      </w:pPr>
      <w:r>
        <w:rPr>
          <w:rFonts w:hint="eastAsia" w:ascii="黑体" w:hAnsi="黑体" w:eastAsia="黑体"/>
          <w:color w:val="000000"/>
          <w:sz w:val="32"/>
          <w:szCs w:val="32"/>
          <w:lang w:val="en-US" w:eastAsia="zh-CN"/>
        </w:rPr>
        <w:t>一、</w:t>
      </w:r>
      <w:r>
        <w:rPr>
          <w:rFonts w:ascii="黑体" w:hAnsi="黑体" w:eastAsia="黑体"/>
          <w:color w:val="000000"/>
          <w:sz w:val="32"/>
          <w:szCs w:val="32"/>
        </w:rPr>
        <w:t>收入支出决算总体情况说明</w:t>
      </w:r>
    </w:p>
    <w:p w14:paraId="7DC1974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1"/>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年度收入、支出决算总计</w:t>
      </w:r>
      <w:r>
        <w:rPr>
          <w:rFonts w:hint="eastAsia" w:ascii="仿宋_GB2312" w:hAnsi="times_new_roman" w:eastAsia="仿宋_GB2312" w:cs="times_new_roman"/>
          <w:kern w:val="0"/>
          <w:sz w:val="32"/>
          <w:szCs w:val="32"/>
          <w:u w:val="single"/>
        </w:rPr>
        <w:t xml:space="preserve"> 556.79</w:t>
      </w:r>
      <w:r>
        <w:rPr>
          <w:rFonts w:hint="eastAsia" w:ascii="仿宋_GB2312" w:hAnsi="fang_song_gb2312" w:eastAsia="仿宋_GB2312" w:cs="fang_song_gb2312"/>
          <w:kern w:val="0"/>
          <w:sz w:val="32"/>
          <w:szCs w:val="32"/>
        </w:rPr>
        <w:t>万元。与年初预算相比，收、支总计各减少</w:t>
      </w:r>
      <w:r>
        <w:rPr>
          <w:rFonts w:hint="eastAsia" w:ascii="仿宋_GB2312" w:hAnsi="times_new_roman" w:eastAsia="仿宋_GB2312" w:cs="times_new_roman"/>
          <w:kern w:val="0"/>
          <w:sz w:val="32"/>
          <w:szCs w:val="32"/>
          <w:u w:val="single"/>
        </w:rPr>
        <w:t xml:space="preserve"> -16.69</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-2.91</w:t>
      </w:r>
      <w:r>
        <w:rPr>
          <w:rFonts w:hint="eastAsia" w:ascii="仿宋_GB2312" w:hAnsi="fang_song_gb2312" w:eastAsia="仿宋_GB2312" w:cs="fang_song_gb2312"/>
          <w:kern w:val="0"/>
          <w:sz w:val="32"/>
          <w:szCs w:val="32"/>
        </w:rPr>
        <w:t>%，变动原因：由于项目资金在2023年末未能支付，年底被财政收回，所以决算数据比年初预算减少；与上年决算相比，收、支总计各增加</w:t>
      </w:r>
      <w:r>
        <w:rPr>
          <w:rFonts w:hint="eastAsia" w:ascii="仿宋_GB2312" w:hAnsi="times_new_roman" w:eastAsia="仿宋_GB2312" w:cs="times_new_roman"/>
          <w:kern w:val="0"/>
          <w:sz w:val="32"/>
          <w:szCs w:val="32"/>
          <w:u w:val="single"/>
        </w:rPr>
        <w:t>119.71</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27.39</w:t>
      </w:r>
      <w:r>
        <w:rPr>
          <w:rFonts w:hint="eastAsia" w:ascii="仿宋_GB2312" w:hAnsi="fang_song_gb2312" w:eastAsia="仿宋_GB2312" w:cs="fang_song_gb2312"/>
          <w:kern w:val="0"/>
          <w:sz w:val="32"/>
          <w:szCs w:val="32"/>
        </w:rPr>
        <w:t>%。其中：2023年新增了项目外退休待遇、失业保险、追加社保费用和上年结转项目资金到本年度，所以本年比上年增加。</w:t>
      </w:r>
    </w:p>
    <w:p w14:paraId="001FE29E">
      <w:pPr>
        <w:widowControl/>
        <w:numPr>
          <w:ilvl w:val="0"/>
          <w:numId w:val="0"/>
        </w:numPr>
        <w:spacing w:before="240" w:after="240"/>
        <w:ind w:firstLine="640" w:firstLineChars="20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lang w:val="en-US" w:eastAsia="zh-CN" w:bidi="ar-SA"/>
        </w:rPr>
        <w:t>（一）</w:t>
      </w:r>
      <w:r>
        <w:rPr>
          <w:rFonts w:hint="eastAsia" w:ascii="方正楷体_GB2312" w:hAnsi="方正楷体_GB2312" w:eastAsia="方正楷体_GB2312" w:cs="方正楷体_GB2312"/>
          <w:b/>
          <w:bCs/>
          <w:kern w:val="0"/>
          <w:sz w:val="32"/>
          <w:szCs w:val="32"/>
        </w:rPr>
        <w:t>收入决算总计 556.79万元。包括：</w:t>
      </w:r>
    </w:p>
    <w:p w14:paraId="086F6C60">
      <w:pPr>
        <w:keepNext w:val="0"/>
        <w:keepLines w:val="0"/>
        <w:pageBreakBefore w:val="0"/>
        <w:widowControl/>
        <w:numPr>
          <w:ilvl w:val="0"/>
          <w:numId w:val="0"/>
        </w:numPr>
        <w:kinsoku/>
        <w:wordWrap/>
        <w:overflowPunct/>
        <w:topLinePunct w:val="0"/>
        <w:autoSpaceDE/>
        <w:autoSpaceDN/>
        <w:bidi w:val="0"/>
        <w:adjustRightInd/>
        <w:snapToGrid/>
        <w:spacing w:before="240" w:after="240" w:line="580" w:lineRule="exact"/>
        <w:ind w:firstLine="640" w:firstLineChars="200"/>
        <w:jc w:val="left"/>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1.本年收入决算合计</w:t>
      </w:r>
      <w:r>
        <w:rPr>
          <w:rFonts w:hint="eastAsia" w:ascii="仿宋_GB2312" w:hAnsi="times_new_roman" w:eastAsia="仿宋_GB2312" w:cs="times_new_roman"/>
          <w:kern w:val="0"/>
          <w:sz w:val="32"/>
          <w:szCs w:val="32"/>
          <w:u w:val="single"/>
        </w:rPr>
        <w:t xml:space="preserve"> 556.75</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119.69</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27.39</w:t>
      </w:r>
      <w:r>
        <w:rPr>
          <w:rFonts w:hint="eastAsia" w:ascii="仿宋_GB2312" w:hAnsi="fang_song_gb2312" w:eastAsia="仿宋_GB2312" w:cs="fang_song_gb2312"/>
          <w:kern w:val="0"/>
          <w:sz w:val="32"/>
          <w:szCs w:val="32"/>
        </w:rPr>
        <w:t>%，变动原因：2023年新增了项目外退休待遇、失业保险、追加社保费用和上年结转项目资金到本年度，所以本年比上年增加。</w:t>
      </w:r>
    </w:p>
    <w:p w14:paraId="3337A89F">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lang w:val="en-US" w:eastAsia="zh-CN"/>
        </w:rPr>
        <w:t xml:space="preserve"> </w:t>
      </w:r>
      <w:r>
        <w:rPr>
          <w:rFonts w:hint="eastAsia" w:ascii="仿宋_GB2312" w:hAnsi="fang_song_gb2312" w:eastAsia="仿宋_GB2312" w:cs="fang_song_gb2312"/>
          <w:kern w:val="0"/>
          <w:sz w:val="32"/>
          <w:szCs w:val="32"/>
        </w:rPr>
        <w:t>2.使用非财政拨款结余和专用结余</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%，变动原因：不存在此项内容。</w:t>
      </w:r>
    </w:p>
    <w:p w14:paraId="671C4ADA">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fang_song_gb2312" w:eastAsia="仿宋_GB2312" w:cs="fang_song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lang w:val="en-US" w:eastAsia="zh-CN"/>
        </w:rPr>
        <w:t xml:space="preserve"> </w:t>
      </w:r>
      <w:r>
        <w:rPr>
          <w:rFonts w:hint="eastAsia" w:ascii="仿宋_GB2312" w:hAnsi="fang_song_gb2312" w:eastAsia="仿宋_GB2312" w:cs="fang_song_gb2312"/>
          <w:kern w:val="0"/>
          <w:sz w:val="32"/>
          <w:szCs w:val="32"/>
        </w:rPr>
        <w:t xml:space="preserve">3.年初结转和结余 </w:t>
      </w:r>
      <w:r>
        <w:rPr>
          <w:rFonts w:hint="eastAsia" w:ascii="仿宋_GB2312" w:hAnsi="times_new_roman" w:eastAsia="仿宋_GB2312" w:cs="times_new_roman"/>
          <w:kern w:val="0"/>
          <w:sz w:val="32"/>
          <w:szCs w:val="32"/>
          <w:u w:val="single"/>
        </w:rPr>
        <w:t>0.03</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0.02</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 xml:space="preserve"> 103.11</w:t>
      </w:r>
      <w:r>
        <w:rPr>
          <w:rFonts w:hint="eastAsia" w:ascii="仿宋_GB2312" w:hAnsi="fang_song_gb2312" w:eastAsia="仿宋_GB2312" w:cs="fang_song_gb2312"/>
          <w:kern w:val="0"/>
          <w:sz w:val="32"/>
          <w:szCs w:val="32"/>
        </w:rPr>
        <w:t>%，变动原因：结转和结余资金为代扣代缴的个人所得税,因需缴纳的个税比上年多,所以与上年决算相比增加。</w:t>
      </w:r>
    </w:p>
    <w:p w14:paraId="702939CE">
      <w:pPr>
        <w:widowControl/>
        <w:spacing w:before="240" w:after="240"/>
        <w:ind w:firstLine="640" w:firstLineChars="200"/>
        <w:rPr>
          <w:rFonts w:eastAsia="Times New Roman"/>
          <w:kern w:val="0"/>
          <w:sz w:val="24"/>
        </w:rPr>
      </w:pPr>
      <w:r>
        <w:rPr>
          <w:rFonts w:hint="eastAsia" w:ascii="方正楷体_GB2312" w:hAnsi="方正楷体_GB2312" w:eastAsia="方正楷体_GB2312" w:cs="方正楷体_GB2312"/>
          <w:b/>
          <w:bCs/>
          <w:kern w:val="0"/>
          <w:sz w:val="32"/>
          <w:szCs w:val="32"/>
          <w:lang w:val="en-US" w:eastAsia="zh-CN" w:bidi="ar-SA"/>
        </w:rPr>
        <w:t>（二）支出决算总计 556.79万元。包括：</w:t>
      </w:r>
    </w:p>
    <w:p w14:paraId="754F313A">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1.本年支出决算合计</w:t>
      </w:r>
      <w:r>
        <w:rPr>
          <w:rFonts w:hint="eastAsia" w:ascii="仿宋_GB2312" w:hAnsi="times_new_roman" w:eastAsia="仿宋_GB2312" w:cs="times_new_roman"/>
          <w:kern w:val="0"/>
          <w:sz w:val="32"/>
          <w:szCs w:val="32"/>
          <w:u w:val="single"/>
        </w:rPr>
        <w:t xml:space="preserve"> 556.78</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119.73</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27.40</w:t>
      </w:r>
      <w:r>
        <w:rPr>
          <w:rFonts w:hint="eastAsia" w:ascii="仿宋_GB2312" w:hAnsi="fang_song_gb2312" w:eastAsia="仿宋_GB2312" w:cs="fang_song_gb2312"/>
          <w:kern w:val="0"/>
          <w:sz w:val="32"/>
          <w:szCs w:val="32"/>
        </w:rPr>
        <w:t>%，变动原因：2023年新增了项目外退休待遇、失业保险、追加社保费用和上年结转项目资金到本年度，所以本年比上年增加。</w:t>
      </w:r>
    </w:p>
    <w:p w14:paraId="14D508EA">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2.结余分配</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万元。结余分配事项：不存在此项内容。与上年决算相比，增加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%，变动原因：不存在此项内容。</w:t>
      </w:r>
    </w:p>
    <w:p w14:paraId="171D22E5">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fang_song_gb2312" w:hAnsi="fang_song_gb2312" w:eastAsia="仿宋_GB2312" w:cs="fang_song_gb2312"/>
          <w:kern w:val="0"/>
          <w:sz w:val="32"/>
          <w:szCs w:val="32"/>
          <w:lang w:val="en-US" w:eastAsia="zh-CN"/>
        </w:rPr>
        <w:t xml:space="preserve"> </w:t>
      </w:r>
      <w:r>
        <w:rPr>
          <w:rFonts w:hint="eastAsia" w:ascii="仿宋_GB2312" w:hAnsi="fang_song_gb2312" w:eastAsia="仿宋_GB2312" w:cs="fang_song_gb2312"/>
          <w:kern w:val="0"/>
          <w:sz w:val="32"/>
          <w:szCs w:val="32"/>
        </w:rPr>
        <w:t>3.年末结转和结余</w:t>
      </w:r>
      <w:r>
        <w:rPr>
          <w:rFonts w:hint="eastAsia" w:ascii="仿宋_GB2312" w:hAnsi="times_new_roman" w:eastAsia="仿宋_GB2312" w:cs="times_new_roman"/>
          <w:kern w:val="0"/>
          <w:sz w:val="32"/>
          <w:szCs w:val="32"/>
          <w:u w:val="single"/>
        </w:rPr>
        <w:t xml:space="preserve"> 0.01</w:t>
      </w:r>
      <w:r>
        <w:rPr>
          <w:rFonts w:hint="eastAsia" w:ascii="仿宋_GB2312" w:hAnsi="fang_song_gb2312" w:eastAsia="仿宋_GB2312" w:cs="fang_song_gb2312"/>
          <w:kern w:val="0"/>
          <w:sz w:val="32"/>
          <w:szCs w:val="32"/>
        </w:rPr>
        <w:t>万元。结转和结余事项：为缴纳单位热线电话的费用和代扣代缴个人所得税。与上年决算相比，减少</w:t>
      </w:r>
      <w:r>
        <w:rPr>
          <w:rFonts w:hint="eastAsia" w:ascii="仿宋_GB2312" w:hAnsi="times_new_roman" w:eastAsia="仿宋_GB2312" w:cs="times_new_roman"/>
          <w:kern w:val="0"/>
          <w:sz w:val="32"/>
          <w:szCs w:val="32"/>
          <w:u w:val="single"/>
        </w:rPr>
        <w:t xml:space="preserve"> -0.02</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-73.94</w:t>
      </w:r>
      <w:r>
        <w:rPr>
          <w:rFonts w:hint="eastAsia" w:ascii="仿宋_GB2312" w:hAnsi="fang_song_gb2312" w:eastAsia="仿宋_GB2312" w:cs="fang_song_gb2312"/>
          <w:kern w:val="0"/>
          <w:sz w:val="32"/>
          <w:szCs w:val="32"/>
        </w:rPr>
        <w:t>%，变动原因：本年度代扣代缴的个人所得税比上年的减少。</w:t>
      </w:r>
    </w:p>
    <w:p w14:paraId="46DB6F63">
      <w:pPr>
        <w:numPr>
          <w:ilvl w:val="0"/>
          <w:numId w:val="0"/>
        </w:numPr>
        <w:snapToGrid w:val="0"/>
        <w:spacing w:line="570" w:lineRule="exact"/>
        <w:ind w:left="675" w:leftChars="0"/>
        <w:outlineLvl w:val="1"/>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二、收入决算情况说明</w:t>
      </w:r>
    </w:p>
    <w:p w14:paraId="6FA870A5">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eastAsia="仿宋_GB2312"/>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年度本年收入决算合计</w:t>
      </w:r>
      <w:r>
        <w:rPr>
          <w:rFonts w:hint="eastAsia" w:ascii="仿宋_GB2312" w:hAnsi="times_new_roman" w:eastAsia="仿宋_GB2312" w:cs="times_new_roman"/>
          <w:kern w:val="0"/>
          <w:sz w:val="32"/>
          <w:szCs w:val="32"/>
          <w:u w:val="single"/>
        </w:rPr>
        <w:t xml:space="preserve"> 556.75</w:t>
      </w:r>
      <w:r>
        <w:rPr>
          <w:rFonts w:hint="eastAsia" w:ascii="仿宋_GB2312" w:hAnsi="fang_song_gb2312" w:eastAsia="仿宋_GB2312" w:cs="fang_song_gb2312"/>
          <w:kern w:val="0"/>
          <w:sz w:val="32"/>
          <w:szCs w:val="32"/>
        </w:rPr>
        <w:t>万元，其中：</w:t>
      </w:r>
    </w:p>
    <w:p w14:paraId="2D5A61B2">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本年一般公共预算财政拨款收入</w:t>
      </w:r>
      <w:r>
        <w:rPr>
          <w:rFonts w:hint="eastAsia" w:ascii="仿宋_GB2312" w:hAnsi="times_new_roman" w:eastAsia="仿宋_GB2312" w:cs="times_new_roman"/>
          <w:kern w:val="0"/>
          <w:sz w:val="32"/>
          <w:szCs w:val="32"/>
          <w:u w:val="single"/>
        </w:rPr>
        <w:t xml:space="preserve"> 556.75</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100.00</w:t>
      </w:r>
      <w:r>
        <w:rPr>
          <w:rFonts w:hint="eastAsia" w:ascii="仿宋_GB2312" w:hAnsi="fang_song_gb2312" w:eastAsia="仿宋_GB2312" w:cs="fang_song_gb2312"/>
          <w:kern w:val="0"/>
          <w:sz w:val="32"/>
          <w:szCs w:val="32"/>
        </w:rPr>
        <w:t>%；</w:t>
      </w:r>
    </w:p>
    <w:p w14:paraId="04E8A1E9">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本年政府性基金预算财政拨款收入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3DBFA75E">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本年国有资本经营预算财政拨款收入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689AE3DA">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本年上级补助收入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70820082">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本年事业收入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741E7DCC">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本年经营收入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1F8F9C61">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本年附属单位上缴收入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526B20DD">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本年其他收入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1547556A">
      <w:pPr>
        <w:widowControl/>
        <w:spacing w:before="240" w:after="240"/>
        <w:ind w:firstLine="3520" w:firstLineChars="1100"/>
        <w:rPr>
          <w:rFonts w:hint="eastAsia" w:ascii="仿宋_GB2312" w:hAnsi="fang_song_gb2312" w:eastAsia="仿宋_GB2312" w:cs="fang_song_gb2312"/>
          <w:color w:val="0E00FE"/>
          <w:kern w:val="0"/>
          <w:sz w:val="32"/>
          <w:szCs w:val="32"/>
        </w:rPr>
      </w:pPr>
      <w:r>
        <w:rPr>
          <w:rFonts w:hint="eastAsia" w:ascii="仿宋_GB2312" w:hAnsi="fang_song_gb2312" w:eastAsia="仿宋_GB2312" w:cs="fang_song_gb2312"/>
          <w:kern w:val="0"/>
          <w:sz w:val="32"/>
          <w:szCs w:val="32"/>
        </w:rPr>
        <w:t>图</w:t>
      </w:r>
      <w:r>
        <w:rPr>
          <w:rFonts w:hint="eastAsia" w:ascii="仿宋_GB2312" w:hAnsi="times_new_roman" w:eastAsia="仿宋_GB2312" w:cs="times_new_roman"/>
          <w:kern w:val="0"/>
          <w:sz w:val="32"/>
          <w:szCs w:val="32"/>
        </w:rPr>
        <w:t>1</w:t>
      </w:r>
      <w:r>
        <w:rPr>
          <w:rFonts w:hint="eastAsia" w:ascii="仿宋_GB2312" w:hAnsi="fang_song_gb2312" w:eastAsia="仿宋_GB2312" w:cs="fang_song_gb2312"/>
          <w:kern w:val="0"/>
          <w:sz w:val="32"/>
          <w:szCs w:val="32"/>
        </w:rPr>
        <w:t>.收入决算图</w:t>
      </w:r>
    </w:p>
    <w:p w14:paraId="4CBBDA7D">
      <w:pPr>
        <w:widowControl/>
        <w:spacing w:before="240" w:after="240"/>
        <w:jc w:val="center"/>
        <w:rPr>
          <w:rFonts w:hint="eastAsia" w:eastAsiaTheme="minorEastAsia"/>
          <w:kern w:val="0"/>
          <w:sz w:val="24"/>
        </w:rPr>
      </w:pPr>
      <w:r>
        <w:rPr>
          <w:rFonts w:hint="eastAsia" w:eastAsiaTheme="minorEastAsia"/>
          <w:kern w:val="0"/>
          <w:sz w:val="24"/>
        </w:rPr>
        <w:drawing>
          <wp:inline distT="0" distB="0" distL="0" distR="0">
            <wp:extent cx="5486400" cy="32004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517142D">
      <w:pPr>
        <w:numPr>
          <w:ilvl w:val="0"/>
          <w:numId w:val="0"/>
        </w:numPr>
        <w:snapToGrid w:val="0"/>
        <w:spacing w:line="570" w:lineRule="exact"/>
        <w:ind w:left="675" w:leftChars="0"/>
        <w:outlineLvl w:val="1"/>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三、支出决算情况说明</w:t>
      </w:r>
    </w:p>
    <w:p w14:paraId="48874F24">
      <w:pPr>
        <w:keepNext w:val="0"/>
        <w:keepLines w:val="0"/>
        <w:pageBreakBefore w:val="0"/>
        <w:widowControl/>
        <w:numPr>
          <w:ilvl w:val="0"/>
          <w:numId w:val="0"/>
        </w:numPr>
        <w:kinsoku/>
        <w:wordWrap/>
        <w:overflowPunct/>
        <w:topLinePunct w:val="0"/>
        <w:autoSpaceDE/>
        <w:autoSpaceDN/>
        <w:bidi w:val="0"/>
        <w:adjustRightInd/>
        <w:snapToGrid/>
        <w:spacing w:before="240" w:after="240" w:line="580" w:lineRule="exact"/>
        <w:ind w:firstLine="640" w:firstLineChars="200"/>
        <w:jc w:val="both"/>
        <w:textAlignment w:val="auto"/>
        <w:rPr>
          <w:rFonts w:hint="eastAsia" w:ascii="仿宋_GB2312" w:eastAsia="仿宋_GB2312"/>
          <w:kern w:val="0"/>
          <w:sz w:val="32"/>
          <w:szCs w:val="32"/>
        </w:rPr>
      </w:pPr>
      <w:r>
        <w:rPr>
          <w:rFonts w:hint="eastAsia" w:ascii="仿宋_GB2312" w:hAnsi="fang_song_gb2312" w:eastAsia="仿宋_GB2312" w:cs="fang_song_gb2312"/>
          <w:kern w:val="0"/>
          <w:sz w:val="32"/>
          <w:szCs w:val="32"/>
        </w:rPr>
        <w:t>赤峰市工业和数字经济产业促进中心 2023年度本年支出决算合计</w:t>
      </w:r>
      <w:r>
        <w:rPr>
          <w:rFonts w:hint="eastAsia" w:ascii="仿宋_GB2312" w:hAnsi="times_new_roman" w:eastAsia="仿宋_GB2312" w:cs="times_new_roman"/>
          <w:kern w:val="0"/>
          <w:sz w:val="32"/>
          <w:szCs w:val="32"/>
          <w:u w:val="single"/>
        </w:rPr>
        <w:t xml:space="preserve"> 556.78</w:t>
      </w:r>
      <w:r>
        <w:rPr>
          <w:rFonts w:hint="eastAsia" w:ascii="仿宋_GB2312" w:hAnsi="fang_song_gb2312" w:eastAsia="仿宋_GB2312" w:cs="fang_song_gb2312"/>
          <w:kern w:val="0"/>
          <w:sz w:val="32"/>
          <w:szCs w:val="32"/>
        </w:rPr>
        <w:t>万元，其中：</w:t>
      </w:r>
    </w:p>
    <w:p w14:paraId="7F9BC0A9">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本年基本支出</w:t>
      </w:r>
      <w:r>
        <w:rPr>
          <w:rFonts w:hint="eastAsia" w:ascii="仿宋_GB2312" w:hAnsi="times_new_roman" w:eastAsia="仿宋_GB2312" w:cs="times_new_roman"/>
          <w:kern w:val="0"/>
          <w:sz w:val="32"/>
          <w:szCs w:val="32"/>
          <w:u w:val="single"/>
        </w:rPr>
        <w:t xml:space="preserve"> 449.80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80.79</w:t>
      </w:r>
      <w:r>
        <w:rPr>
          <w:rFonts w:hint="eastAsia" w:ascii="仿宋_GB2312" w:hAnsi="fang_song_gb2312" w:eastAsia="仿宋_GB2312" w:cs="fang_song_gb2312"/>
          <w:kern w:val="0"/>
          <w:sz w:val="32"/>
          <w:szCs w:val="32"/>
        </w:rPr>
        <w:t>%；</w:t>
      </w:r>
    </w:p>
    <w:p w14:paraId="6C93C250">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本年项目支出</w:t>
      </w:r>
      <w:r>
        <w:rPr>
          <w:rFonts w:hint="eastAsia" w:ascii="仿宋_GB2312" w:hAnsi="times_new_roman" w:eastAsia="仿宋_GB2312" w:cs="times_new_roman"/>
          <w:kern w:val="0"/>
          <w:sz w:val="32"/>
          <w:szCs w:val="32"/>
          <w:u w:val="single"/>
        </w:rPr>
        <w:t xml:space="preserve"> 106.98</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19.21</w:t>
      </w:r>
      <w:r>
        <w:rPr>
          <w:rFonts w:hint="eastAsia" w:ascii="仿宋_GB2312" w:hAnsi="fang_song_gb2312" w:eastAsia="仿宋_GB2312" w:cs="fang_song_gb2312"/>
          <w:kern w:val="0"/>
          <w:sz w:val="32"/>
          <w:szCs w:val="32"/>
        </w:rPr>
        <w:t>%；</w:t>
      </w:r>
    </w:p>
    <w:p w14:paraId="2497879F">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本年上缴上级支出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57AF0F45">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本年经营支出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75C04B17">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本年对附属单位补助支出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1750B977">
      <w:pPr>
        <w:widowControl/>
        <w:spacing w:before="240" w:after="240"/>
        <w:jc w:val="center"/>
        <w:rPr>
          <w:rFonts w:hint="eastAsia" w:ascii="仿宋_GB2312" w:hAnsi="fang_song_gb2312" w:eastAsia="仿宋_GB2312" w:cs="fang_song_gb2312"/>
          <w:color w:val="0E00FE"/>
          <w:kern w:val="0"/>
          <w:sz w:val="32"/>
          <w:szCs w:val="32"/>
        </w:rPr>
      </w:pPr>
      <w:r>
        <w:rPr>
          <w:rFonts w:hint="eastAsia" w:ascii="仿宋_GB2312" w:hAnsi="fang_song_gb2312" w:eastAsia="仿宋_GB2312" w:cs="fang_song_gb2312"/>
          <w:kern w:val="0"/>
          <w:sz w:val="32"/>
          <w:szCs w:val="32"/>
        </w:rPr>
        <w:t>图2.支出决算图</w:t>
      </w:r>
    </w:p>
    <w:p w14:paraId="0F282A07">
      <w:pPr>
        <w:widowControl/>
        <w:spacing w:before="240" w:after="240"/>
        <w:jc w:val="center"/>
        <w:rPr>
          <w:rFonts w:eastAsiaTheme="minorEastAsia"/>
          <w:kern w:val="0"/>
          <w:sz w:val="24"/>
        </w:rPr>
      </w:pPr>
      <w:r>
        <w:rPr>
          <w:rFonts w:hint="eastAsia" w:eastAsiaTheme="minorEastAsia"/>
          <w:kern w:val="0"/>
          <w:sz w:val="24"/>
        </w:rPr>
        <w:drawing>
          <wp:inline distT="0" distB="0" distL="0" distR="0">
            <wp:extent cx="5486400" cy="32004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C03389">
      <w:pPr>
        <w:snapToGrid w:val="0"/>
        <w:spacing w:line="570" w:lineRule="exact"/>
        <w:outlineLvl w:val="1"/>
        <w:rPr>
          <w:rFonts w:ascii="黑体" w:hAnsi="黑体" w:eastAsia="黑体"/>
          <w:color w:val="000000"/>
          <w:sz w:val="32"/>
          <w:szCs w:val="32"/>
        </w:rPr>
      </w:pPr>
    </w:p>
    <w:p w14:paraId="3C14F823">
      <w:pPr>
        <w:numPr>
          <w:ilvl w:val="0"/>
          <w:numId w:val="0"/>
        </w:numPr>
        <w:snapToGrid w:val="0"/>
        <w:spacing w:line="570" w:lineRule="exact"/>
        <w:ind w:left="675" w:leftChars="0"/>
        <w:outlineLvl w:val="1"/>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四、财政拨款收入支出决算总体情况说明</w:t>
      </w:r>
    </w:p>
    <w:p w14:paraId="2B0AEC9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1"/>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年度财政拨款收入、支出决算总计</w:t>
      </w:r>
      <w:r>
        <w:rPr>
          <w:rFonts w:hint="eastAsia" w:ascii="仿宋_GB2312" w:hAnsi="times_new_roman" w:eastAsia="仿宋_GB2312" w:cs="times_new_roman"/>
          <w:kern w:val="0"/>
          <w:sz w:val="32"/>
          <w:szCs w:val="32"/>
          <w:u w:val="single"/>
        </w:rPr>
        <w:t xml:space="preserve"> 556.79</w:t>
      </w:r>
      <w:r>
        <w:rPr>
          <w:rFonts w:hint="eastAsia" w:ascii="仿宋_GB2312" w:hAnsi="fang_song_gb2312" w:eastAsia="仿宋_GB2312" w:cs="fang_song_gb2312"/>
          <w:kern w:val="0"/>
          <w:sz w:val="32"/>
          <w:szCs w:val="32"/>
        </w:rPr>
        <w:t>万元，与年初预算相比，收、支总计各减少</w:t>
      </w:r>
      <w:r>
        <w:rPr>
          <w:rFonts w:hint="eastAsia" w:ascii="仿宋_GB2312" w:hAnsi="times_new_roman" w:eastAsia="仿宋_GB2312" w:cs="times_new_roman"/>
          <w:kern w:val="0"/>
          <w:sz w:val="32"/>
          <w:szCs w:val="32"/>
          <w:u w:val="single"/>
        </w:rPr>
        <w:t>-16.69</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 xml:space="preserve"> -2.91</w:t>
      </w:r>
      <w:r>
        <w:rPr>
          <w:rFonts w:hint="eastAsia" w:ascii="仿宋_GB2312" w:hAnsi="fang_song_gb2312" w:eastAsia="仿宋_GB2312" w:cs="fang_song_gb2312"/>
          <w:kern w:val="0"/>
          <w:sz w:val="32"/>
          <w:szCs w:val="32"/>
        </w:rPr>
        <w:t>%，变动原因：由于项目资金在2023年末未能支付，年底被财政收回，所以决算数据比年初预算减少；与上年决算相比，收、支总计各增加</w:t>
      </w:r>
      <w:r>
        <w:rPr>
          <w:rFonts w:hint="eastAsia" w:ascii="仿宋_GB2312" w:hAnsi="times_new_roman" w:eastAsia="仿宋_GB2312" w:cs="times_new_roman"/>
          <w:kern w:val="0"/>
          <w:sz w:val="32"/>
          <w:szCs w:val="32"/>
          <w:u w:val="single"/>
        </w:rPr>
        <w:t>119.71</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27.39</w:t>
      </w:r>
      <w:r>
        <w:rPr>
          <w:rFonts w:hint="eastAsia" w:ascii="仿宋_GB2312" w:hAnsi="fang_song_gb2312" w:eastAsia="仿宋_GB2312" w:cs="fang_song_gb2312"/>
          <w:kern w:val="0"/>
          <w:sz w:val="32"/>
          <w:szCs w:val="32"/>
        </w:rPr>
        <w:t>%，变动原因：2023年新增了项目外退休待遇、失业保险、追加社保费用和上年结转项目资金到本年度，所以本年比上年增加。</w:t>
      </w:r>
    </w:p>
    <w:p w14:paraId="1D76DF49">
      <w:pPr>
        <w:numPr>
          <w:ilvl w:val="0"/>
          <w:numId w:val="0"/>
        </w:numPr>
        <w:snapToGrid w:val="0"/>
        <w:spacing w:line="570" w:lineRule="exact"/>
        <w:ind w:firstLine="640" w:firstLineChars="200"/>
        <w:outlineLvl w:val="1"/>
        <w:rPr>
          <w:rFonts w:hint="eastAsia" w:ascii="仿宋_GB2312" w:eastAsia="仿宋_GB2312"/>
          <w:kern w:val="0"/>
          <w:sz w:val="32"/>
          <w:szCs w:val="32"/>
        </w:rPr>
      </w:pPr>
      <w:r>
        <w:rPr>
          <w:rFonts w:hint="eastAsia" w:ascii="黑体" w:hAnsi="黑体" w:eastAsia="黑体"/>
          <w:color w:val="000000"/>
          <w:sz w:val="32"/>
          <w:szCs w:val="32"/>
          <w:lang w:val="en-US" w:eastAsia="zh-CN"/>
        </w:rPr>
        <w:t>五、</w:t>
      </w:r>
      <w:r>
        <w:rPr>
          <w:rFonts w:ascii="黑体" w:hAnsi="黑体" w:eastAsia="黑体"/>
          <w:color w:val="000000"/>
          <w:sz w:val="32"/>
          <w:szCs w:val="32"/>
        </w:rPr>
        <w:t>一般公共预算财政拨款支出决算情况说明</w:t>
      </w:r>
    </w:p>
    <w:p w14:paraId="4D15B20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1"/>
        <w:rPr>
          <w:rFonts w:hint="eastAsia" w:ascii="仿宋_GB2312" w:eastAsia="仿宋_GB2312"/>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年度一般公共预算财政拨款支出决算</w:t>
      </w:r>
      <w:r>
        <w:rPr>
          <w:rFonts w:hint="eastAsia" w:ascii="仿宋_GB2312" w:hAnsi="times_new_roman" w:eastAsia="仿宋_GB2312" w:cs="times_new_roman"/>
          <w:kern w:val="0"/>
          <w:sz w:val="32"/>
          <w:szCs w:val="32"/>
          <w:u w:val="single"/>
        </w:rPr>
        <w:t xml:space="preserve"> 556.78</w:t>
      </w:r>
      <w:r>
        <w:rPr>
          <w:rFonts w:hint="eastAsia" w:ascii="仿宋_GB2312" w:hAnsi="fang_song_gb2312" w:eastAsia="仿宋_GB2312" w:cs="fang_song_gb2312"/>
          <w:kern w:val="0"/>
          <w:sz w:val="32"/>
          <w:szCs w:val="32"/>
        </w:rPr>
        <w:t>万元。与年初预算</w:t>
      </w:r>
      <w:r>
        <w:rPr>
          <w:rFonts w:hint="eastAsia" w:ascii="仿宋_GB2312" w:hAnsi="times_new_roman" w:eastAsia="仿宋_GB2312" w:cs="times_new_roman"/>
          <w:kern w:val="0"/>
          <w:sz w:val="32"/>
          <w:szCs w:val="32"/>
          <w:u w:val="single"/>
        </w:rPr>
        <w:t xml:space="preserve"> 573.48</w:t>
      </w:r>
      <w:r>
        <w:rPr>
          <w:rFonts w:hint="eastAsia" w:ascii="仿宋_GB2312" w:hAnsi="fang_song_gb2312" w:eastAsia="仿宋_GB2312" w:cs="fang_song_gb2312"/>
          <w:kern w:val="0"/>
          <w:sz w:val="32"/>
          <w:szCs w:val="32"/>
        </w:rPr>
        <w:t>万元相比，完成年初预算的</w:t>
      </w:r>
      <w:r>
        <w:rPr>
          <w:rFonts w:hint="eastAsia" w:ascii="仿宋_GB2312" w:hAnsi="times_new_roman" w:eastAsia="仿宋_GB2312" w:cs="times_new_roman"/>
          <w:kern w:val="0"/>
          <w:sz w:val="32"/>
          <w:szCs w:val="32"/>
          <w:u w:val="single"/>
        </w:rPr>
        <w:t xml:space="preserve"> 97.09</w:t>
      </w:r>
      <w:r>
        <w:rPr>
          <w:rFonts w:hint="eastAsia" w:ascii="仿宋_GB2312" w:hAnsi="fang_song_gb2312" w:eastAsia="仿宋_GB2312" w:cs="fang_song_gb2312"/>
          <w:kern w:val="0"/>
          <w:sz w:val="32"/>
          <w:szCs w:val="32"/>
        </w:rPr>
        <w:t>%。其中：</w:t>
      </w:r>
    </w:p>
    <w:p w14:paraId="0C1ED117">
      <w:pPr>
        <w:widowControl/>
        <w:spacing w:before="240" w:after="240"/>
        <w:ind w:firstLine="640" w:firstLineChars="20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（一）社会保障和就业支出（类）</w:t>
      </w:r>
    </w:p>
    <w:p w14:paraId="35EEBE70">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社会保障和就业支出类决算数为</w:t>
      </w:r>
      <w:r>
        <w:rPr>
          <w:rFonts w:hint="eastAsia" w:ascii="仿宋_GB2312" w:hAnsi="times_new_roman" w:eastAsia="仿宋_GB2312" w:cs="times_new_roman"/>
          <w:kern w:val="0"/>
          <w:sz w:val="32"/>
          <w:szCs w:val="32"/>
          <w:u w:val="single"/>
        </w:rPr>
        <w:t>60.59</w:t>
      </w:r>
      <w:r>
        <w:rPr>
          <w:rFonts w:hint="eastAsia" w:ascii="仿宋_GB2312" w:hAnsi="fang_song_gb2312" w:eastAsia="仿宋_GB2312" w:cs="fang_song_gb2312"/>
          <w:kern w:val="0"/>
          <w:sz w:val="32"/>
          <w:szCs w:val="32"/>
        </w:rPr>
        <w:t>万元，与年初预算相比增加</w:t>
      </w:r>
      <w:r>
        <w:rPr>
          <w:rFonts w:hint="eastAsia" w:ascii="仿宋_GB2312" w:hAnsi="times_new_roman" w:eastAsia="仿宋_GB2312" w:cs="times_new_roman"/>
          <w:kern w:val="0"/>
          <w:sz w:val="32"/>
          <w:szCs w:val="32"/>
          <w:u w:val="single"/>
        </w:rPr>
        <w:t>1.35</w:t>
      </w:r>
      <w:r>
        <w:rPr>
          <w:rFonts w:hint="eastAsia" w:ascii="仿宋_GB2312" w:hAnsi="fang_song_gb2312" w:eastAsia="仿宋_GB2312" w:cs="fang_song_gb2312"/>
          <w:kern w:val="0"/>
          <w:sz w:val="32"/>
          <w:szCs w:val="32"/>
        </w:rPr>
        <w:t xml:space="preserve">万元。其中： </w:t>
      </w:r>
    </w:p>
    <w:p w14:paraId="7FE9C922">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 人力资源和社会保障管理事务(款)其他人力资源和社会保障管理事务支出(项)。年初预算</w:t>
      </w:r>
      <w:r>
        <w:rPr>
          <w:rFonts w:hint="eastAsia" w:ascii="仿宋_GB2312" w:hAnsi="times_new_roman" w:eastAsia="仿宋_GB2312" w:cs="times_new_roman"/>
          <w:kern w:val="0"/>
          <w:sz w:val="32"/>
          <w:szCs w:val="32"/>
          <w:u w:val="single"/>
          <w:lang w:val="en-US" w:eastAsia="zh-CN"/>
        </w:rPr>
        <w:t>0</w:t>
      </w:r>
      <w:r>
        <w:rPr>
          <w:rFonts w:hint="eastAsia" w:ascii="仿宋_GB2312" w:hAnsi="fang_song_gb2312" w:eastAsia="仿宋_GB2312" w:cs="fang_song_gb2312"/>
          <w:kern w:val="0"/>
          <w:sz w:val="32"/>
          <w:szCs w:val="32"/>
        </w:rPr>
        <w:t>万元，</w:t>
      </w:r>
      <w:r>
        <w:rPr>
          <w:rFonts w:hint="eastAsia" w:ascii="仿宋_GB2312" w:hAnsi="fang_song_gb2312" w:eastAsia="仿宋_GB2312" w:cs="fang_song_gb2312"/>
          <w:kern w:val="0"/>
          <w:sz w:val="32"/>
          <w:szCs w:val="32"/>
          <w:lang w:val="en-US" w:eastAsia="zh-CN"/>
        </w:rPr>
        <w:t>追加预算</w:t>
      </w:r>
      <w:r>
        <w:rPr>
          <w:rFonts w:hint="eastAsia" w:ascii="仿宋_GB2312" w:hAnsi="times_new_roman" w:eastAsia="仿宋_GB2312" w:cs="times_new_roman"/>
          <w:kern w:val="0"/>
          <w:sz w:val="32"/>
          <w:szCs w:val="32"/>
          <w:u w:val="single"/>
          <w:lang w:val="en-US" w:eastAsia="zh-CN"/>
        </w:rPr>
        <w:t>1</w:t>
      </w:r>
      <w:r>
        <w:rPr>
          <w:rFonts w:hint="eastAsia" w:ascii="仿宋_GB2312" w:hAnsi="fang_song_gb2312" w:eastAsia="仿宋_GB2312" w:cs="fang_song_gb2312"/>
          <w:kern w:val="0"/>
          <w:sz w:val="32"/>
          <w:szCs w:val="32"/>
          <w:lang w:val="en-US" w:eastAsia="zh-CN"/>
        </w:rPr>
        <w:t>万元，</w:t>
      </w:r>
      <w:r>
        <w:rPr>
          <w:rFonts w:hint="eastAsia" w:ascii="仿宋_GB2312" w:hAnsi="fang_song_gb2312" w:eastAsia="仿宋_GB2312" w:cs="fang_song_gb2312"/>
          <w:kern w:val="0"/>
          <w:sz w:val="32"/>
          <w:szCs w:val="32"/>
        </w:rPr>
        <w:t>支出决算</w:t>
      </w:r>
      <w:r>
        <w:rPr>
          <w:rFonts w:hint="eastAsia" w:ascii="仿宋_GB2312" w:hAnsi="times_new_roman" w:eastAsia="仿宋_GB2312" w:cs="times_new_roman"/>
          <w:kern w:val="0"/>
          <w:sz w:val="32"/>
          <w:szCs w:val="32"/>
          <w:u w:val="single"/>
        </w:rPr>
        <w:t>1</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lang w:val="en-US" w:eastAsia="zh-CN"/>
        </w:rPr>
        <w:t>100</w:t>
      </w:r>
      <w:r>
        <w:rPr>
          <w:rFonts w:hint="eastAsia" w:ascii="仿宋_GB2312" w:hAnsi="fang_song_gb2312" w:eastAsia="仿宋_GB2312" w:cs="fang_song_gb2312"/>
          <w:kern w:val="0"/>
          <w:sz w:val="32"/>
          <w:szCs w:val="32"/>
        </w:rPr>
        <w:t>%。决算数与年初预算数的差异原因：因为此项指标为年中追加的人才引进补贴，所以与年初数有差异。</w:t>
      </w:r>
    </w:p>
    <w:p w14:paraId="4226CB7B">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2. 行政事业单位养老支出（款）事业单位离退休（项）。年初预算</w:t>
      </w:r>
      <w:r>
        <w:rPr>
          <w:rFonts w:hint="eastAsia" w:ascii="仿宋_GB2312" w:hAnsi="times_new_roman" w:eastAsia="仿宋_GB2312" w:cs="times_new_roman"/>
          <w:kern w:val="0"/>
          <w:sz w:val="32"/>
          <w:szCs w:val="32"/>
          <w:u w:val="single"/>
        </w:rPr>
        <w:t>21.14</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22.63</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107.05</w:t>
      </w:r>
      <w:r>
        <w:rPr>
          <w:rFonts w:hint="eastAsia" w:ascii="仿宋_GB2312" w:hAnsi="fang_song_gb2312" w:eastAsia="仿宋_GB2312" w:cs="fang_song_gb2312"/>
          <w:kern w:val="0"/>
          <w:sz w:val="32"/>
          <w:szCs w:val="32"/>
        </w:rPr>
        <w:t>%。决算数与年初预算数的差异原因：因为2023年退休人员增加，年中追加款项，所以有差异。</w:t>
      </w:r>
    </w:p>
    <w:p w14:paraId="40F455FC">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3. 行政事业单位养老支出（款）机关事业单位基本养老保险缴费支出（项）。年初预算</w:t>
      </w:r>
      <w:r>
        <w:rPr>
          <w:rFonts w:hint="eastAsia" w:ascii="仿宋_GB2312" w:hAnsi="times_new_roman" w:eastAsia="仿宋_GB2312" w:cs="times_new_roman"/>
          <w:kern w:val="0"/>
          <w:sz w:val="32"/>
          <w:szCs w:val="32"/>
          <w:u w:val="single"/>
        </w:rPr>
        <w:t>37.58</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35.21</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93.69</w:t>
      </w:r>
      <w:r>
        <w:rPr>
          <w:rFonts w:hint="eastAsia" w:ascii="仿宋_GB2312" w:hAnsi="fang_song_gb2312" w:eastAsia="仿宋_GB2312" w:cs="fang_song_gb2312"/>
          <w:kern w:val="0"/>
          <w:sz w:val="32"/>
          <w:szCs w:val="32"/>
        </w:rPr>
        <w:t xml:space="preserve"> %。决算数与年初预算数的差异原因：2023年有在职人员退休，所以有差异。</w:t>
      </w:r>
    </w:p>
    <w:p w14:paraId="66B36626">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lang w:val="en-US" w:eastAsia="zh-CN"/>
        </w:rPr>
        <w:t>4</w:t>
      </w:r>
      <w:r>
        <w:rPr>
          <w:rFonts w:hint="eastAsia" w:ascii="仿宋_GB2312" w:hAnsi="fang_song_gb2312" w:eastAsia="仿宋_GB2312" w:cs="fang_song_gb2312"/>
          <w:kern w:val="0"/>
          <w:sz w:val="32"/>
          <w:szCs w:val="32"/>
        </w:rPr>
        <w:t>．其他社会保障和就业支出（款）其他社会保障和就业支出（项）。年初预算</w:t>
      </w:r>
      <w:r>
        <w:rPr>
          <w:rFonts w:hint="eastAsia" w:ascii="仿宋_GB2312" w:hAnsi="times_new_roman" w:eastAsia="仿宋_GB2312" w:cs="times_new_roman"/>
          <w:kern w:val="0"/>
          <w:sz w:val="32"/>
          <w:szCs w:val="32"/>
          <w:u w:val="single"/>
        </w:rPr>
        <w:t>0.52</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1.76</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338.46</w:t>
      </w:r>
      <w:r>
        <w:rPr>
          <w:rFonts w:hint="eastAsia" w:ascii="仿宋_GB2312" w:hAnsi="fang_song_gb2312" w:eastAsia="仿宋_GB2312" w:cs="fang_song_gb2312"/>
          <w:kern w:val="0"/>
          <w:sz w:val="32"/>
          <w:szCs w:val="32"/>
        </w:rPr>
        <w:t>%。决算数与年初预算数的差异原因：2023年工伤保险基数调整增加，年中财政追加了失业保险，所以有差异。</w:t>
      </w:r>
    </w:p>
    <w:p w14:paraId="565D6D35">
      <w:pPr>
        <w:widowControl/>
        <w:spacing w:before="240" w:after="240"/>
        <w:ind w:firstLine="640" w:firstLineChars="20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（二）卫生健康支出（类）</w:t>
      </w:r>
    </w:p>
    <w:p w14:paraId="6FC5F5D4">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 xml:space="preserve">卫生健康支出类决算数为 </w:t>
      </w:r>
      <w:r>
        <w:rPr>
          <w:rFonts w:hint="eastAsia" w:ascii="仿宋_GB2312" w:hAnsi="times_new_roman" w:eastAsia="仿宋_GB2312" w:cs="times_new_roman"/>
          <w:kern w:val="0"/>
          <w:sz w:val="32"/>
          <w:szCs w:val="32"/>
          <w:u w:val="single"/>
        </w:rPr>
        <w:t>28.37</w:t>
      </w:r>
      <w:r>
        <w:rPr>
          <w:rFonts w:hint="eastAsia" w:ascii="仿宋_GB2312" w:hAnsi="fang_song_gb2312" w:eastAsia="仿宋_GB2312" w:cs="fang_song_gb2312"/>
          <w:kern w:val="0"/>
          <w:sz w:val="32"/>
          <w:szCs w:val="32"/>
        </w:rPr>
        <w:t>万元，与年初预算相比增加</w:t>
      </w:r>
      <w:r>
        <w:rPr>
          <w:rFonts w:hint="eastAsia" w:ascii="仿宋_GB2312" w:hAnsi="times_new_roman" w:eastAsia="仿宋_GB2312" w:cs="times_new_roman"/>
          <w:kern w:val="0"/>
          <w:sz w:val="32"/>
          <w:szCs w:val="32"/>
          <w:u w:val="single"/>
        </w:rPr>
        <w:t>1.94</w:t>
      </w:r>
      <w:r>
        <w:rPr>
          <w:rFonts w:hint="eastAsia" w:ascii="仿宋_GB2312" w:hAnsi="fang_song_gb2312" w:eastAsia="仿宋_GB2312" w:cs="fang_song_gb2312"/>
          <w:kern w:val="0"/>
          <w:sz w:val="32"/>
          <w:szCs w:val="32"/>
        </w:rPr>
        <w:t>万元。其中：</w:t>
      </w:r>
    </w:p>
    <w:p w14:paraId="2A675953">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1．行政事业单位医疗（款）事业单位医疗（项）。年初预算</w:t>
      </w:r>
      <w:r>
        <w:rPr>
          <w:rFonts w:hint="eastAsia" w:ascii="仿宋_GB2312" w:hAnsi="times_new_roman" w:eastAsia="仿宋_GB2312" w:cs="times_new_roman"/>
          <w:kern w:val="0"/>
          <w:sz w:val="32"/>
          <w:szCs w:val="32"/>
          <w:u w:val="single"/>
        </w:rPr>
        <w:t>18.74</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20.80</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110.99</w:t>
      </w:r>
      <w:r>
        <w:rPr>
          <w:rFonts w:hint="eastAsia" w:ascii="仿宋_GB2312" w:hAnsi="fang_song_gb2312" w:eastAsia="仿宋_GB2312" w:cs="fang_song_gb2312"/>
          <w:kern w:val="0"/>
          <w:sz w:val="32"/>
          <w:szCs w:val="32"/>
        </w:rPr>
        <w:t>%。决算数与年初预算数的差异原因：2023年医疗保险基数调整增加，年中财政追加了医疗保险，所以医疗保险比年初预算增加。</w:t>
      </w:r>
    </w:p>
    <w:p w14:paraId="74412E45">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宋体" w:hAnsi="宋体" w:cs="宋体"/>
          <w:color w:val="000000"/>
          <w:kern w:val="0"/>
          <w:szCs w:val="21"/>
        </w:rPr>
      </w:pPr>
      <w:r>
        <w:rPr>
          <w:rFonts w:hint="eastAsia" w:ascii="仿宋_GB2312" w:hAnsi="fang_song_gb2312" w:eastAsia="仿宋_GB2312" w:cs="fang_song_gb2312"/>
          <w:kern w:val="0"/>
          <w:sz w:val="32"/>
          <w:szCs w:val="32"/>
        </w:rPr>
        <w:t>2．行政事业单位医疗（款）公务员医疗补助（项）。年初预算</w:t>
      </w:r>
      <w:r>
        <w:rPr>
          <w:rFonts w:hint="eastAsia" w:ascii="仿宋_GB2312" w:hAnsi="times_new_roman" w:eastAsia="仿宋_GB2312" w:cs="times_new_roman"/>
          <w:kern w:val="0"/>
          <w:sz w:val="32"/>
          <w:szCs w:val="32"/>
          <w:u w:val="single"/>
        </w:rPr>
        <w:t>7.68</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7.57</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98.57</w:t>
      </w:r>
      <w:r>
        <w:rPr>
          <w:rFonts w:hint="eastAsia" w:ascii="仿宋_GB2312" w:hAnsi="fang_song_gb2312" w:eastAsia="仿宋_GB2312" w:cs="fang_song_gb2312"/>
          <w:kern w:val="0"/>
          <w:sz w:val="32"/>
          <w:szCs w:val="32"/>
        </w:rPr>
        <w:t>%。决算数与年初预算数的差异原因：2023年有在职人员退休，所以公务员医疗补助比年初预算减少。</w:t>
      </w:r>
    </w:p>
    <w:p w14:paraId="0D4DF83B">
      <w:pPr>
        <w:widowControl/>
        <w:spacing w:before="240" w:after="240"/>
        <w:ind w:firstLine="640" w:firstLineChars="20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（三）农林水支出（类）</w:t>
      </w:r>
    </w:p>
    <w:p w14:paraId="43D9ACDA">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农林水支出类决算数为</w:t>
      </w:r>
      <w:r>
        <w:rPr>
          <w:rFonts w:hint="eastAsia" w:ascii="仿宋_GB2312" w:hAnsi="times_new_roman" w:eastAsia="仿宋_GB2312" w:cs="times_new_roman"/>
          <w:kern w:val="0"/>
          <w:sz w:val="32"/>
          <w:szCs w:val="32"/>
          <w:u w:val="single"/>
        </w:rPr>
        <w:t>4.35</w:t>
      </w:r>
      <w:r>
        <w:rPr>
          <w:rFonts w:hint="eastAsia" w:ascii="仿宋_GB2312" w:hAnsi="fang_song_gb2312" w:eastAsia="仿宋_GB2312" w:cs="fang_song_gb2312"/>
          <w:kern w:val="0"/>
          <w:sz w:val="32"/>
          <w:szCs w:val="32"/>
        </w:rPr>
        <w:t>万元，与年初预算相比增加</w:t>
      </w:r>
      <w:r>
        <w:rPr>
          <w:rFonts w:hint="eastAsia" w:ascii="仿宋_GB2312" w:hAnsi="times_new_roman" w:eastAsia="仿宋_GB2312" w:cs="times_new_roman"/>
          <w:kern w:val="0"/>
          <w:sz w:val="32"/>
          <w:szCs w:val="32"/>
          <w:u w:val="single"/>
        </w:rPr>
        <w:t>2.68</w:t>
      </w:r>
      <w:r>
        <w:rPr>
          <w:rFonts w:hint="eastAsia" w:ascii="仿宋_GB2312" w:hAnsi="fang_song_gb2312" w:eastAsia="仿宋_GB2312" w:cs="fang_song_gb2312"/>
          <w:kern w:val="0"/>
          <w:sz w:val="32"/>
          <w:szCs w:val="32"/>
        </w:rPr>
        <w:t>万元。其中：</w:t>
      </w:r>
    </w:p>
    <w:p w14:paraId="377BC662">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1．巩固脱贫衔接乡村振兴（款）其他巩固脱贫衔接乡村振兴支出（项）。年初预算</w:t>
      </w:r>
      <w:r>
        <w:rPr>
          <w:rFonts w:hint="eastAsia" w:ascii="仿宋_GB2312" w:hAnsi="times_new_roman" w:eastAsia="仿宋_GB2312" w:cs="times_new_roman"/>
          <w:kern w:val="0"/>
          <w:sz w:val="32"/>
          <w:szCs w:val="32"/>
          <w:u w:val="single"/>
        </w:rPr>
        <w:t>1.67</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4.35</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260.48</w:t>
      </w:r>
      <w:r>
        <w:rPr>
          <w:rFonts w:hint="eastAsia" w:ascii="仿宋_GB2312" w:hAnsi="fang_song_gb2312" w:eastAsia="仿宋_GB2312" w:cs="fang_song_gb2312"/>
          <w:kern w:val="0"/>
          <w:sz w:val="32"/>
          <w:szCs w:val="32"/>
        </w:rPr>
        <w:t>%。决算数与年初预算数的差异原因：2023年财政追加了驻村工作人员补助和艰边调差，所以比年初预算增加。</w:t>
      </w:r>
    </w:p>
    <w:p w14:paraId="5D692072">
      <w:pPr>
        <w:widowControl/>
        <w:spacing w:before="240" w:after="240"/>
        <w:ind w:firstLine="480" w:firstLineChars="15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（四）资源勘探工业信息等支出（类）</w:t>
      </w:r>
    </w:p>
    <w:p w14:paraId="166EE1EC">
      <w:pPr>
        <w:keepNext w:val="0"/>
        <w:keepLines w:val="0"/>
        <w:pageBreakBefore w:val="0"/>
        <w:widowControl/>
        <w:kinsoku/>
        <w:wordWrap/>
        <w:overflowPunct/>
        <w:topLinePunct w:val="0"/>
        <w:autoSpaceDE/>
        <w:autoSpaceDN/>
        <w:bidi w:val="0"/>
        <w:adjustRightInd/>
        <w:snapToGrid/>
        <w:spacing w:before="240" w:after="240" w:line="580" w:lineRule="exact"/>
        <w:ind w:firstLine="800" w:firstLineChars="25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资源勘探工业信息等支出类决算数为</w:t>
      </w:r>
      <w:r>
        <w:rPr>
          <w:rFonts w:hint="eastAsia" w:ascii="仿宋_GB2312" w:hAnsi="times_new_roman" w:eastAsia="仿宋_GB2312" w:cs="times_new_roman"/>
          <w:kern w:val="0"/>
          <w:sz w:val="32"/>
          <w:szCs w:val="32"/>
          <w:u w:val="single"/>
        </w:rPr>
        <w:t>435.58</w:t>
      </w:r>
      <w:r>
        <w:rPr>
          <w:rFonts w:hint="eastAsia" w:ascii="仿宋_GB2312" w:hAnsi="fang_song_gb2312" w:eastAsia="仿宋_GB2312" w:cs="fang_song_gb2312"/>
          <w:kern w:val="0"/>
          <w:sz w:val="32"/>
          <w:szCs w:val="32"/>
        </w:rPr>
        <w:t>万元，与年初预算相比减少</w:t>
      </w:r>
      <w:r>
        <w:rPr>
          <w:rFonts w:hint="eastAsia" w:ascii="仿宋_GB2312" w:hAnsi="times_new_roman" w:eastAsia="仿宋_GB2312" w:cs="times_new_roman"/>
          <w:kern w:val="0"/>
          <w:sz w:val="32"/>
          <w:szCs w:val="32"/>
          <w:u w:val="single"/>
        </w:rPr>
        <w:t>19.15</w:t>
      </w:r>
      <w:r>
        <w:rPr>
          <w:rFonts w:hint="eastAsia" w:ascii="仿宋_GB2312" w:hAnsi="fang_song_gb2312" w:eastAsia="仿宋_GB2312" w:cs="fang_song_gb2312"/>
          <w:kern w:val="0"/>
          <w:sz w:val="32"/>
          <w:szCs w:val="32"/>
        </w:rPr>
        <w:t>万元。其中：</w:t>
      </w:r>
    </w:p>
    <w:p w14:paraId="50738231">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1．工业和信息产业监管支出（款）事业运行（项）。年初预算</w:t>
      </w:r>
      <w:r>
        <w:rPr>
          <w:rFonts w:hint="eastAsia" w:ascii="仿宋_GB2312" w:hAnsi="times_new_roman" w:eastAsia="仿宋_GB2312" w:cs="times_new_roman"/>
          <w:kern w:val="0"/>
          <w:sz w:val="32"/>
          <w:szCs w:val="32"/>
          <w:u w:val="single"/>
        </w:rPr>
        <w:t>287.54</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303.79</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105.65</w:t>
      </w:r>
      <w:r>
        <w:rPr>
          <w:rFonts w:hint="eastAsia" w:ascii="仿宋_GB2312" w:hAnsi="fang_song_gb2312" w:eastAsia="仿宋_GB2312" w:cs="fang_song_gb2312"/>
          <w:kern w:val="0"/>
          <w:sz w:val="32"/>
          <w:szCs w:val="32"/>
        </w:rPr>
        <w:t>%。决算数与年初预算数的差异原因：2023年我单位长期聘用人员工资和社保按照财政要求调整调剂到2150550里，所以比年初预算增加。</w:t>
      </w:r>
    </w:p>
    <w:p w14:paraId="711B30BE">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2．支持中小企业发展和管理支出（款）其他支持中小企业发展和管理支出（项）。年初预算</w:t>
      </w:r>
      <w:r>
        <w:rPr>
          <w:rFonts w:hint="eastAsia" w:ascii="仿宋_GB2312" w:hAnsi="times_new_roman" w:eastAsia="仿宋_GB2312" w:cs="times_new_roman"/>
          <w:kern w:val="0"/>
          <w:sz w:val="32"/>
          <w:szCs w:val="32"/>
          <w:u w:val="single"/>
        </w:rPr>
        <w:t>167.19</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131.79</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78.83</w:t>
      </w:r>
      <w:r>
        <w:rPr>
          <w:rFonts w:hint="eastAsia" w:ascii="仿宋_GB2312" w:hAnsi="fang_song_gb2312" w:eastAsia="仿宋_GB2312" w:cs="fang_song_gb2312"/>
          <w:kern w:val="0"/>
          <w:sz w:val="32"/>
          <w:szCs w:val="32"/>
        </w:rPr>
        <w:t>%。决算数与年初预算数的差异原因：2023年此科目里长期聘用人员工资和社保按照财政要求调整调剂到2150550里，所以收入比年初预算减少。</w:t>
      </w:r>
    </w:p>
    <w:p w14:paraId="16AC2F6E">
      <w:pPr>
        <w:widowControl/>
        <w:spacing w:before="240" w:after="240"/>
        <w:ind w:firstLine="480" w:firstLineChars="15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（五）住房保障支出（类）</w:t>
      </w:r>
    </w:p>
    <w:p w14:paraId="18EBB8F1">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住房保障支出类决算数为</w:t>
      </w:r>
      <w:r>
        <w:rPr>
          <w:rFonts w:hint="eastAsia" w:ascii="仿宋_GB2312" w:hAnsi="times_new_roman" w:eastAsia="仿宋_GB2312" w:cs="times_new_roman"/>
          <w:kern w:val="0"/>
          <w:sz w:val="32"/>
          <w:szCs w:val="32"/>
          <w:u w:val="single"/>
        </w:rPr>
        <w:t>27.89</w:t>
      </w:r>
      <w:r>
        <w:rPr>
          <w:rFonts w:hint="eastAsia" w:ascii="仿宋_GB2312" w:hAnsi="fang_song_gb2312" w:eastAsia="仿宋_GB2312" w:cs="fang_song_gb2312"/>
          <w:kern w:val="0"/>
          <w:sz w:val="32"/>
          <w:szCs w:val="32"/>
        </w:rPr>
        <w:t>万元，与年初预算相比减少</w:t>
      </w:r>
      <w:r>
        <w:rPr>
          <w:rFonts w:hint="eastAsia" w:ascii="仿宋_GB2312" w:hAnsi="times_new_roman" w:eastAsia="仿宋_GB2312" w:cs="times_new_roman"/>
          <w:kern w:val="0"/>
          <w:sz w:val="32"/>
          <w:szCs w:val="32"/>
          <w:u w:val="single"/>
        </w:rPr>
        <w:t>3.52</w:t>
      </w:r>
      <w:r>
        <w:rPr>
          <w:rFonts w:hint="eastAsia" w:ascii="仿宋_GB2312" w:hAnsi="fang_song_gb2312" w:eastAsia="仿宋_GB2312" w:cs="fang_song_gb2312"/>
          <w:kern w:val="0"/>
          <w:sz w:val="32"/>
          <w:szCs w:val="32"/>
        </w:rPr>
        <w:t>万元。其中：</w:t>
      </w:r>
    </w:p>
    <w:p w14:paraId="1EFB8C47">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1．住房改革支出（款）住房公积金（项）。年初预算</w:t>
      </w:r>
      <w:r>
        <w:rPr>
          <w:rFonts w:hint="eastAsia" w:ascii="仿宋_GB2312" w:hAnsi="times_new_roman" w:eastAsia="仿宋_GB2312" w:cs="times_new_roman"/>
          <w:kern w:val="0"/>
          <w:sz w:val="32"/>
          <w:szCs w:val="32"/>
          <w:u w:val="single"/>
        </w:rPr>
        <w:t>31.41</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27.89</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88.79</w:t>
      </w:r>
      <w:r>
        <w:rPr>
          <w:rFonts w:hint="eastAsia" w:ascii="仿宋_GB2312" w:hAnsi="fang_song_gb2312" w:eastAsia="仿宋_GB2312" w:cs="fang_song_gb2312"/>
          <w:kern w:val="0"/>
          <w:sz w:val="32"/>
          <w:szCs w:val="32"/>
        </w:rPr>
        <w:t>%。决算数与年初预算数的差异原因：2023年有在职人员退休，所以住房公积金比年初预算减少。</w:t>
      </w:r>
      <w:r>
        <w:rPr>
          <w:rFonts w:hint="eastAsia" w:ascii="kai_ti_gb2312" w:hAnsi="kai_ti_gb2312" w:eastAsia="仿宋_GB2312" w:cs="kai_ti_gb2312"/>
          <w:b/>
          <w:bCs/>
          <w:kern w:val="0"/>
          <w:sz w:val="32"/>
          <w:szCs w:val="32"/>
        </w:rPr>
        <w:t> </w:t>
      </w:r>
      <w:r>
        <w:rPr>
          <w:rFonts w:hint="eastAsia" w:ascii="仿宋_GB2312" w:hAnsi="kai_ti_gb2312" w:eastAsia="仿宋_GB2312" w:cs="kai_ti_gb2312"/>
          <w:b/>
          <w:bCs/>
          <w:kern w:val="0"/>
          <w:sz w:val="32"/>
          <w:szCs w:val="32"/>
        </w:rPr>
        <w:t xml:space="preserve"> </w:t>
      </w:r>
      <w:r>
        <w:rPr>
          <w:rFonts w:hint="eastAsia" w:ascii="kai_ti_gb2312" w:hAnsi="kai_ti_gb2312" w:eastAsia="仿宋_GB2312" w:cs="kai_ti_gb2312"/>
          <w:b/>
          <w:bCs/>
          <w:kern w:val="0"/>
          <w:sz w:val="32"/>
          <w:szCs w:val="32"/>
        </w:rPr>
        <w:t> </w:t>
      </w:r>
    </w:p>
    <w:p w14:paraId="154E40FC">
      <w:pPr>
        <w:snapToGrid w:val="0"/>
        <w:spacing w:line="570" w:lineRule="exact"/>
        <w:ind w:firstLine="640" w:firstLineChars="200"/>
        <w:outlineLvl w:val="1"/>
        <w:rPr>
          <w:rFonts w:hint="eastAsia" w:ascii="黑体" w:hAnsi="黑体" w:eastAsia="黑体"/>
          <w:color w:val="000000"/>
          <w:sz w:val="32"/>
          <w:szCs w:val="32"/>
        </w:rPr>
      </w:pPr>
      <w:r>
        <w:rPr>
          <w:rFonts w:ascii="黑体" w:hAnsi="黑体" w:eastAsia="黑体"/>
          <w:color w:val="000000"/>
          <w:sz w:val="32"/>
          <w:szCs w:val="32"/>
        </w:rPr>
        <w:t>六、一般公共预算财政拨款基本支出决算情况说明</w:t>
      </w:r>
    </w:p>
    <w:p w14:paraId="421B36C1">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赤峰市工业和数字经济产业促进中心 2023年度一般公共预算财政拨款基本支出决算</w:t>
      </w:r>
      <w:r>
        <w:rPr>
          <w:rFonts w:hint="eastAsia" w:ascii="仿宋_GB2312" w:hAnsi="times_new_roman" w:eastAsia="仿宋_GB2312" w:cs="times_new_roman"/>
          <w:kern w:val="0"/>
          <w:sz w:val="32"/>
          <w:szCs w:val="32"/>
          <w:u w:val="single"/>
        </w:rPr>
        <w:t xml:space="preserve"> 449.80</w:t>
      </w:r>
      <w:r>
        <w:rPr>
          <w:rFonts w:hint="eastAsia" w:ascii="仿宋_GB2312" w:hAnsi="fang_song_gb2312" w:eastAsia="仿宋_GB2312" w:cs="fang_song_gb2312"/>
          <w:kern w:val="0"/>
          <w:sz w:val="32"/>
          <w:szCs w:val="32"/>
        </w:rPr>
        <w:t>万元，其中：</w:t>
      </w:r>
    </w:p>
    <w:p w14:paraId="270D6040">
      <w:pPr>
        <w:keepNext w:val="0"/>
        <w:keepLines w:val="0"/>
        <w:pageBreakBefore w:val="0"/>
        <w:widowControl/>
        <w:numPr>
          <w:ilvl w:val="0"/>
          <w:numId w:val="0"/>
        </w:numPr>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eastAsia="仿宋_GB2312"/>
          <w:kern w:val="0"/>
          <w:sz w:val="32"/>
          <w:szCs w:val="32"/>
        </w:rPr>
      </w:pP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lang w:val="en-US" w:eastAsia="zh-CN"/>
        </w:rPr>
        <w:t>一</w:t>
      </w: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rPr>
        <w:t>人员经费</w:t>
      </w:r>
      <w:r>
        <w:rPr>
          <w:rFonts w:hint="eastAsia" w:ascii="仿宋_GB2312" w:hAnsi="times_new_roman" w:eastAsia="仿宋_GB2312" w:cs="times_new_roman"/>
          <w:kern w:val="0"/>
          <w:sz w:val="32"/>
          <w:szCs w:val="32"/>
          <w:u w:val="single"/>
        </w:rPr>
        <w:t xml:space="preserve"> 407.68</w:t>
      </w:r>
      <w:r>
        <w:rPr>
          <w:rFonts w:hint="eastAsia" w:ascii="仿宋_GB2312" w:hAnsi="fang_song_gb2312" w:eastAsia="仿宋_GB2312" w:cs="fang_song_gb2312"/>
          <w:b/>
          <w:bCs/>
          <w:kern w:val="0"/>
          <w:sz w:val="32"/>
          <w:szCs w:val="32"/>
        </w:rPr>
        <w:t>万元</w:t>
      </w:r>
      <w:r>
        <w:rPr>
          <w:rFonts w:hint="eastAsia" w:ascii="仿宋_GB2312" w:hAnsi="fang_song_gb2312" w:eastAsia="仿宋_GB2312" w:cs="fang_song_gb2312"/>
          <w:kern w:val="0"/>
          <w:sz w:val="32"/>
          <w:szCs w:val="32"/>
        </w:rPr>
        <w:t>。主要包括：基本工资119.32万元、津贴补贴50.50万元、奖金27.30万元、绩效工资68.40万元、机关事业单位基本养老保险缴费35.21万元、职工基本医疗保险缴费20.80万元、公务员医疗补助缴费7.57万元、其他社会保障缴费1.76万元、住房公积金27.89万元、其他工资福利支出24.80万元、退休费21.47万元、其他对个人和家庭的补助支出2.67万元。</w:t>
      </w:r>
    </w:p>
    <w:p w14:paraId="0156D274">
      <w:pPr>
        <w:keepNext w:val="0"/>
        <w:keepLines w:val="0"/>
        <w:pageBreakBefore w:val="0"/>
        <w:widowControl/>
        <w:numPr>
          <w:ilvl w:val="0"/>
          <w:numId w:val="0"/>
        </w:numPr>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lang w:val="en-US" w:eastAsia="zh-CN"/>
        </w:rPr>
        <w:t>二</w:t>
      </w: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rPr>
        <w:t>公用经费</w:t>
      </w:r>
      <w:r>
        <w:rPr>
          <w:rFonts w:hint="eastAsia" w:ascii="仿宋_GB2312" w:hAnsi="times_new_roman" w:eastAsia="仿宋_GB2312" w:cs="times_new_roman"/>
          <w:kern w:val="0"/>
          <w:sz w:val="32"/>
          <w:szCs w:val="32"/>
          <w:u w:val="single"/>
        </w:rPr>
        <w:t xml:space="preserve"> 42.13</w:t>
      </w:r>
      <w:r>
        <w:rPr>
          <w:rFonts w:hint="eastAsia" w:ascii="仿宋_GB2312" w:hAnsi="fang_song_gb2312" w:eastAsia="仿宋_GB2312" w:cs="fang_song_gb2312"/>
          <w:b/>
          <w:bCs/>
          <w:kern w:val="0"/>
          <w:sz w:val="32"/>
          <w:szCs w:val="32"/>
        </w:rPr>
        <w:t>万元</w:t>
      </w:r>
      <w:r>
        <w:rPr>
          <w:rFonts w:hint="eastAsia" w:ascii="仿宋_GB2312" w:hAnsi="fang_song_gb2312" w:eastAsia="仿宋_GB2312" w:cs="fang_song_gb2312"/>
          <w:kern w:val="0"/>
          <w:sz w:val="32"/>
          <w:szCs w:val="32"/>
        </w:rPr>
        <w:t>。主要包括：办公费4.53万元、印刷费3.94万元、邮电费0.93万元、物业管理费1.68万元、差旅费3.53万元、维修（护）费1.30万元、培训费5.95万元、劳务费11.40万元、福利费6.88万元、其他交通费用0.83万元、其他商品和服务支出1.16万元。</w:t>
      </w:r>
    </w:p>
    <w:p w14:paraId="52D5A316">
      <w:pPr>
        <w:widowControl/>
        <w:numPr>
          <w:ilvl w:val="0"/>
          <w:numId w:val="0"/>
        </w:numPr>
        <w:spacing w:before="240" w:after="240"/>
        <w:ind w:firstLine="640" w:firstLineChars="200"/>
        <w:rPr>
          <w:rFonts w:ascii="黑体" w:hAnsi="黑体" w:eastAsia="黑体"/>
          <w:color w:val="000000"/>
          <w:sz w:val="32"/>
          <w:szCs w:val="32"/>
        </w:rPr>
      </w:pPr>
      <w:r>
        <w:rPr>
          <w:rFonts w:ascii="黑体" w:hAnsi="黑体" w:eastAsia="黑体"/>
          <w:color w:val="000000"/>
          <w:sz w:val="32"/>
          <w:szCs w:val="32"/>
        </w:rPr>
        <w:t>七、一般公共预算财政拨款项目支出决算情况说明</w:t>
      </w:r>
    </w:p>
    <w:p w14:paraId="5DFAE26E">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 xml:space="preserve">  </w:t>
      </w: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年度一般公共预算财政拨款项目支出决算</w:t>
      </w:r>
      <w:r>
        <w:rPr>
          <w:rFonts w:hint="eastAsia" w:ascii="仿宋_GB2312" w:hAnsi="times_new_roman" w:eastAsia="仿宋_GB2312" w:cs="times_new_roman"/>
          <w:kern w:val="0"/>
          <w:sz w:val="32"/>
          <w:szCs w:val="32"/>
          <w:u w:val="single"/>
        </w:rPr>
        <w:t xml:space="preserve"> 106.98</w:t>
      </w:r>
      <w:r>
        <w:rPr>
          <w:rFonts w:hint="eastAsia" w:ascii="仿宋_GB2312" w:hAnsi="fang_song_gb2312" w:eastAsia="仿宋_GB2312" w:cs="fang_song_gb2312"/>
          <w:kern w:val="0"/>
          <w:sz w:val="32"/>
          <w:szCs w:val="32"/>
        </w:rPr>
        <w:t>万元，其中：</w:t>
      </w:r>
    </w:p>
    <w:p w14:paraId="522EAFEE">
      <w:pPr>
        <w:keepNext w:val="0"/>
        <w:keepLines w:val="0"/>
        <w:pageBreakBefore w:val="0"/>
        <w:widowControl/>
        <w:numPr>
          <w:ilvl w:val="0"/>
          <w:numId w:val="0"/>
        </w:numPr>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lang w:val="en-US" w:eastAsia="zh-CN"/>
        </w:rPr>
        <w:t>一</w:t>
      </w: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rPr>
        <w:t>工资福利支出</w:t>
      </w:r>
      <w:r>
        <w:rPr>
          <w:rFonts w:hint="eastAsia" w:ascii="仿宋_GB2312" w:hAnsi="times_new_roman" w:eastAsia="仿宋_GB2312" w:cs="times_new_roman"/>
          <w:kern w:val="0"/>
          <w:sz w:val="32"/>
          <w:szCs w:val="32"/>
          <w:u w:val="single"/>
        </w:rPr>
        <w:t xml:space="preserve"> 0.12</w:t>
      </w:r>
      <w:r>
        <w:rPr>
          <w:rFonts w:hint="eastAsia" w:ascii="仿宋_GB2312" w:hAnsi="fang_song_gb2312" w:eastAsia="仿宋_GB2312" w:cs="fang_song_gb2312"/>
          <w:b/>
          <w:bCs/>
          <w:kern w:val="0"/>
          <w:sz w:val="32"/>
          <w:szCs w:val="32"/>
        </w:rPr>
        <w:t>万元</w:t>
      </w:r>
      <w:r>
        <w:rPr>
          <w:rFonts w:hint="eastAsia" w:ascii="仿宋_GB2312" w:hAnsi="fang_song_gb2312" w:eastAsia="仿宋_GB2312" w:cs="fang_song_gb2312"/>
          <w:kern w:val="0"/>
          <w:sz w:val="32"/>
          <w:szCs w:val="32"/>
        </w:rPr>
        <w:t>。主要包括：其他工资福利支出0.12万元。说明：此款项为上年结转的乡村振兴驻村人员艰边调差。</w:t>
      </w:r>
    </w:p>
    <w:p w14:paraId="1849A4FB">
      <w:pPr>
        <w:keepNext w:val="0"/>
        <w:keepLines w:val="0"/>
        <w:pageBreakBefore w:val="0"/>
        <w:widowControl/>
        <w:numPr>
          <w:ilvl w:val="0"/>
          <w:numId w:val="0"/>
        </w:numPr>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b/>
          <w:bCs/>
          <w:kern w:val="0"/>
          <w:sz w:val="32"/>
          <w:szCs w:val="32"/>
        </w:rPr>
        <w:t>（二）商品和服务支出</w:t>
      </w:r>
      <w:r>
        <w:rPr>
          <w:rFonts w:hint="eastAsia" w:ascii="仿宋_GB2312" w:hAnsi="times_new_roman" w:eastAsia="仿宋_GB2312" w:cs="times_new_roman"/>
          <w:kern w:val="0"/>
          <w:sz w:val="32"/>
          <w:szCs w:val="32"/>
          <w:u w:val="single"/>
        </w:rPr>
        <w:t xml:space="preserve"> 105.86</w:t>
      </w:r>
      <w:r>
        <w:rPr>
          <w:rFonts w:hint="eastAsia" w:ascii="仿宋_GB2312" w:hAnsi="fang_song_gb2312" w:eastAsia="仿宋_GB2312" w:cs="fang_song_gb2312"/>
          <w:b/>
          <w:bCs/>
          <w:kern w:val="0"/>
          <w:sz w:val="32"/>
          <w:szCs w:val="32"/>
        </w:rPr>
        <w:t>万元</w:t>
      </w:r>
      <w:r>
        <w:rPr>
          <w:rFonts w:hint="eastAsia" w:ascii="仿宋_GB2312" w:hAnsi="fang_song_gb2312" w:eastAsia="仿宋_GB2312" w:cs="fang_song_gb2312"/>
          <w:kern w:val="0"/>
          <w:sz w:val="32"/>
          <w:szCs w:val="32"/>
        </w:rPr>
        <w:t>。主要包括：办公费1.03万元、邮电费0.01万元、差旅费0.24万元、维修（护）费93.17万元、培训费6.00万元、劳务费2.23万元、其他交通费用1.61万元、其他商品和服务支出1.56万元。</w:t>
      </w:r>
    </w:p>
    <w:p w14:paraId="7E4C0FA7">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b/>
          <w:bCs/>
          <w:kern w:val="0"/>
          <w:sz w:val="32"/>
          <w:szCs w:val="32"/>
          <w:lang w:eastAsia="zh-CN"/>
        </w:rPr>
        <w:t>（</w:t>
      </w:r>
      <w:r>
        <w:rPr>
          <w:rFonts w:hint="eastAsia" w:ascii="仿宋_GB2312" w:hAnsi="fang_song_gb2312" w:eastAsia="仿宋_GB2312" w:cs="fang_song_gb2312"/>
          <w:b/>
          <w:bCs/>
          <w:kern w:val="0"/>
          <w:sz w:val="32"/>
          <w:szCs w:val="32"/>
        </w:rPr>
        <w:t>三）对个人和家庭的补助</w:t>
      </w:r>
      <w:r>
        <w:rPr>
          <w:rFonts w:hint="eastAsia" w:ascii="仿宋_GB2312" w:hAnsi="times_new_roman" w:eastAsia="仿宋_GB2312" w:cs="times_new_roman"/>
          <w:kern w:val="0"/>
          <w:sz w:val="32"/>
          <w:szCs w:val="32"/>
          <w:u w:val="single"/>
        </w:rPr>
        <w:t xml:space="preserve"> 1.00</w:t>
      </w:r>
      <w:r>
        <w:rPr>
          <w:rFonts w:hint="eastAsia" w:ascii="仿宋_GB2312" w:hAnsi="fang_song_gb2312" w:eastAsia="仿宋_GB2312" w:cs="fang_song_gb2312"/>
          <w:b/>
          <w:bCs/>
          <w:kern w:val="0"/>
          <w:sz w:val="32"/>
          <w:szCs w:val="32"/>
        </w:rPr>
        <w:t>万元</w:t>
      </w:r>
      <w:r>
        <w:rPr>
          <w:rFonts w:hint="eastAsia" w:ascii="仿宋_GB2312" w:hAnsi="fang_song_gb2312" w:eastAsia="仿宋_GB2312" w:cs="fang_song_gb2312"/>
          <w:kern w:val="0"/>
          <w:sz w:val="32"/>
          <w:szCs w:val="32"/>
        </w:rPr>
        <w:t>。主要包括：其他对个人和家庭的补助1.00万元。说明：此款项为赤峰市人才引进专项补贴。</w:t>
      </w:r>
    </w:p>
    <w:p w14:paraId="10B5D37C">
      <w:pPr>
        <w:widowControl/>
        <w:spacing w:before="240" w:after="240"/>
        <w:ind w:firstLine="640" w:firstLineChars="200"/>
        <w:rPr>
          <w:rFonts w:hint="eastAsia" w:ascii="黑体" w:hAnsi="黑体" w:eastAsia="黑体"/>
          <w:kern w:val="0"/>
          <w:sz w:val="32"/>
          <w:szCs w:val="32"/>
        </w:rPr>
      </w:pPr>
      <w:r>
        <w:rPr>
          <w:rFonts w:ascii="黑体" w:hAnsi="黑体" w:eastAsia="黑体" w:cs="黑体"/>
          <w:b/>
          <w:bCs/>
          <w:kern w:val="0"/>
          <w:sz w:val="32"/>
          <w:szCs w:val="32"/>
        </w:rPr>
        <w:t>八、财政拨款“三公”经费支出决算情况说明</w:t>
      </w:r>
    </w:p>
    <w:p w14:paraId="27DBDBAD">
      <w:pPr>
        <w:widowControl/>
        <w:spacing w:before="240" w:after="240"/>
        <w:jc w:val="left"/>
        <w:rPr>
          <w:rFonts w:hint="eastAsia" w:ascii="仿宋_GB2312" w:eastAsia="仿宋_GB2312"/>
          <w:kern w:val="0"/>
          <w:sz w:val="32"/>
          <w:szCs w:val="32"/>
        </w:rPr>
      </w:pPr>
      <w:r>
        <w:rPr>
          <w:rFonts w:ascii="kai_ti_gb2312" w:hAnsi="kai_ti_gb2312" w:eastAsia="kai_ti_gb2312" w:cs="kai_ti_gb2312"/>
          <w:b/>
          <w:bCs/>
          <w:kern w:val="0"/>
          <w:sz w:val="27"/>
          <w:szCs w:val="27"/>
        </w:rPr>
        <w:t xml:space="preserve">    </w:t>
      </w:r>
      <w:r>
        <w:rPr>
          <w:rFonts w:hint="eastAsia" w:ascii="方正楷体_GB2312" w:hAnsi="方正楷体_GB2312" w:eastAsia="方正楷体_GB2312" w:cs="方正楷体_GB2312"/>
          <w:b/>
          <w:bCs/>
          <w:kern w:val="0"/>
          <w:sz w:val="32"/>
          <w:szCs w:val="32"/>
        </w:rPr>
        <w:t>（一）财政拨款“三公”经费支出总体情况说明。</w:t>
      </w:r>
    </w:p>
    <w:p w14:paraId="2A05E077">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eastAsia="仿宋_GB2312"/>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年度财政拨款“三公”经费全年预算</w:t>
      </w:r>
      <w:r>
        <w:rPr>
          <w:rFonts w:hint="eastAsia" w:ascii="仿宋_GB2312" w:hAnsi="times_new_roman" w:eastAsia="仿宋_GB2312" w:cs="times_new_roman"/>
          <w:kern w:val="0"/>
          <w:sz w:val="32"/>
          <w:szCs w:val="32"/>
          <w:u w:val="single"/>
        </w:rPr>
        <w:t xml:space="preserve"> 0.32</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%。其中：因公出国（境）费全年预算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%；公务用车购置及运行维护费全年预算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%；公务接待费全年预算</w:t>
      </w:r>
      <w:r>
        <w:rPr>
          <w:rFonts w:hint="eastAsia" w:ascii="仿宋_GB2312" w:hAnsi="times_new_roman" w:eastAsia="仿宋_GB2312" w:cs="times_new_roman"/>
          <w:kern w:val="0"/>
          <w:sz w:val="32"/>
          <w:szCs w:val="32"/>
          <w:u w:val="single"/>
        </w:rPr>
        <w:t xml:space="preserve"> 0.32</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%。2023年度一般公共预算财政拨款“三公”经费支出决算与预算差异原因我单位当年未发生公务接待业务，经费未支出，所以与预算有差异。</w:t>
      </w:r>
    </w:p>
    <w:p w14:paraId="0A4962AE">
      <w:pPr>
        <w:widowControl/>
        <w:spacing w:before="240" w:after="240"/>
        <w:jc w:val="left"/>
        <w:rPr>
          <w:rFonts w:hint="eastAsia" w:ascii="仿宋_GB2312" w:eastAsia="仿宋_GB2312"/>
          <w:kern w:val="0"/>
          <w:sz w:val="32"/>
          <w:szCs w:val="32"/>
        </w:rPr>
      </w:pPr>
      <w:r>
        <w:rPr>
          <w:rFonts w:hint="eastAsia" w:ascii="kai_ti_gb2312" w:hAnsi="kai_ti_gb2312" w:eastAsia="仿宋_GB2312" w:cs="kai_ti_gb2312"/>
          <w:b/>
          <w:bCs/>
          <w:kern w:val="0"/>
          <w:sz w:val="32"/>
          <w:szCs w:val="32"/>
        </w:rPr>
        <w:t> </w:t>
      </w:r>
      <w:r>
        <w:rPr>
          <w:rFonts w:hint="eastAsia" w:ascii="仿宋_GB2312" w:hAnsi="kai_ti_gb2312" w:eastAsia="仿宋_GB2312" w:cs="kai_ti_gb2312"/>
          <w:b/>
          <w:bCs/>
          <w:kern w:val="0"/>
          <w:sz w:val="32"/>
          <w:szCs w:val="32"/>
        </w:rPr>
        <w:t xml:space="preserve"> </w:t>
      </w:r>
      <w:r>
        <w:rPr>
          <w:rFonts w:hint="eastAsia" w:ascii="kai_ti_gb2312" w:hAnsi="kai_ti_gb2312" w:eastAsia="仿宋_GB2312" w:cs="kai_ti_gb2312"/>
          <w:b/>
          <w:bCs/>
          <w:kern w:val="0"/>
          <w:sz w:val="32"/>
          <w:szCs w:val="32"/>
        </w:rPr>
        <w:t> </w:t>
      </w:r>
      <w:r>
        <w:rPr>
          <w:rFonts w:hint="eastAsia" w:ascii="仿宋_GB2312" w:hAnsi="kai_ti_gb2312" w:eastAsia="仿宋_GB2312" w:cs="kai_ti_gb2312"/>
          <w:b/>
          <w:bCs/>
          <w:kern w:val="0"/>
          <w:sz w:val="32"/>
          <w:szCs w:val="32"/>
        </w:rPr>
        <w:t xml:space="preserve"> </w:t>
      </w:r>
      <w:r>
        <w:rPr>
          <w:rFonts w:hint="eastAsia" w:ascii="方正楷体_GB2312" w:hAnsi="方正楷体_GB2312" w:eastAsia="方正楷体_GB2312" w:cs="方正楷体_GB2312"/>
          <w:b/>
          <w:bCs/>
          <w:kern w:val="0"/>
          <w:sz w:val="32"/>
          <w:szCs w:val="32"/>
        </w:rPr>
        <w:t>（二）财政拨款“三公”经费支出具体情况说明。</w:t>
      </w:r>
    </w:p>
    <w:p w14:paraId="74637CFC">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eastAsia="仿宋_GB2312"/>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年度财政拨款“三公”经费支出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万元。因公出国（境）费支出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%；公务用车购置及运行维护费支出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%；公务接待费支出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%。其中：</w:t>
      </w:r>
    </w:p>
    <w:p w14:paraId="7EE6A5C6">
      <w:pPr>
        <w:keepNext w:val="0"/>
        <w:keepLines w:val="0"/>
        <w:pageBreakBefore w:val="0"/>
        <w:widowControl/>
        <w:kinsoku/>
        <w:wordWrap/>
        <w:overflowPunct/>
        <w:topLinePunct w:val="0"/>
        <w:autoSpaceDE/>
        <w:autoSpaceDN/>
        <w:bidi w:val="0"/>
        <w:adjustRightInd/>
        <w:snapToGrid/>
        <w:spacing w:before="240" w:after="240" w:line="580" w:lineRule="exact"/>
        <w:ind w:left="0" w:leftChars="0" w:firstLine="640" w:firstLineChars="200"/>
        <w:textAlignment w:val="auto"/>
        <w:rPr>
          <w:rFonts w:hint="eastAsia" w:ascii="仿宋_GB2312" w:hAnsi="fang_song_gb2312" w:eastAsia="仿宋_GB2312" w:cs="fang_song_gb2312"/>
          <w:kern w:val="0"/>
          <w:sz w:val="32"/>
          <w:szCs w:val="32"/>
        </w:rPr>
      </w:pPr>
      <w:r>
        <w:rPr>
          <w:rFonts w:hint="eastAsia" w:ascii="fang_song_gb2312" w:hAnsi="fang_song_gb2312" w:eastAsia="仿宋_GB2312" w:cs="fang_song_gb2312"/>
          <w:kern w:val="0"/>
          <w:sz w:val="32"/>
          <w:szCs w:val="32"/>
        </w:rPr>
        <w:t> </w:t>
      </w:r>
      <w:r>
        <w:rPr>
          <w:rFonts w:hint="eastAsia" w:ascii="仿宋_GB2312" w:hAnsi="times_new_roman" w:eastAsia="仿宋_GB2312" w:cs="times_new_roman"/>
          <w:kern w:val="0"/>
          <w:sz w:val="32"/>
          <w:szCs w:val="32"/>
        </w:rPr>
        <w:t>1.</w:t>
      </w:r>
      <w:r>
        <w:rPr>
          <w:rFonts w:hint="eastAsia" w:ascii="仿宋_GB2312" w:hAnsi="fang_song_gb2312" w:eastAsia="仿宋_GB2312" w:cs="fang_song_gb2312"/>
          <w:kern w:val="0"/>
          <w:sz w:val="32"/>
          <w:szCs w:val="32"/>
        </w:rPr>
        <w:t>因公出国（境）费支出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万元，全年出国（境）团组</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个，累计</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人次。与上年决算相比，增加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w:t>
      </w:r>
      <w:r>
        <w:rPr>
          <w:rFonts w:hint="eastAsia" w:ascii="仿宋_GB2312" w:hAnsi="fang_song_gb2312" w:eastAsia="仿宋_GB2312" w:cs="fang_song_gb2312"/>
          <w:kern w:val="0"/>
          <w:sz w:val="32"/>
          <w:szCs w:val="32"/>
          <w:lang w:val="en-US" w:eastAsia="zh-CN"/>
        </w:rPr>
        <w:t>与上年决算数相同</w:t>
      </w:r>
      <w:r>
        <w:rPr>
          <w:rFonts w:hint="eastAsia" w:ascii="仿宋_GB2312" w:hAnsi="fang_song_gb2312" w:eastAsia="仿宋_GB2312" w:cs="fang_song_gb2312"/>
          <w:kern w:val="0"/>
          <w:sz w:val="32"/>
          <w:szCs w:val="32"/>
        </w:rPr>
        <w:t>。</w:t>
      </w:r>
    </w:p>
    <w:p w14:paraId="72B0AB1D">
      <w:pPr>
        <w:keepNext w:val="0"/>
        <w:keepLines w:val="0"/>
        <w:pageBreakBefore w:val="0"/>
        <w:widowControl/>
        <w:kinsoku/>
        <w:wordWrap/>
        <w:overflowPunct/>
        <w:topLinePunct w:val="0"/>
        <w:autoSpaceDE/>
        <w:autoSpaceDN/>
        <w:bidi w:val="0"/>
        <w:adjustRightInd/>
        <w:snapToGrid/>
        <w:spacing w:before="240" w:after="240" w:line="580" w:lineRule="exact"/>
        <w:ind w:left="0" w:leftChars="0" w:firstLine="640" w:firstLineChars="200"/>
        <w:textAlignment w:val="auto"/>
        <w:rPr>
          <w:rFonts w:hint="eastAsia" w:ascii="仿宋_GB2312" w:eastAsia="仿宋_GB2312"/>
          <w:kern w:val="0"/>
          <w:sz w:val="32"/>
          <w:szCs w:val="32"/>
        </w:rPr>
      </w:pP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2.</w:t>
      </w:r>
      <w:r>
        <w:rPr>
          <w:rFonts w:hint="eastAsia" w:ascii="仿宋_GB2312" w:hAnsi="fang_song_gb2312" w:eastAsia="仿宋_GB2312" w:cs="fang_song_gb2312"/>
          <w:kern w:val="0"/>
          <w:sz w:val="32"/>
          <w:szCs w:val="32"/>
        </w:rPr>
        <w:t>公务用车购置及运行维护费支出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万元。其中：</w:t>
      </w:r>
    </w:p>
    <w:p w14:paraId="0F1705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（1）公务用车购置支出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万元。本年度使用财政拨款购置公务用车</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辆，开支内容：无。与上年决算相比，增加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w:t>
      </w:r>
      <w:r>
        <w:rPr>
          <w:rFonts w:hint="eastAsia" w:ascii="仿宋_GB2312" w:hAnsi="fang_song_gb2312" w:eastAsia="仿宋_GB2312" w:cs="fang_song_gb2312"/>
          <w:kern w:val="0"/>
          <w:sz w:val="32"/>
          <w:szCs w:val="32"/>
          <w:lang w:val="en-US" w:eastAsia="zh-CN"/>
        </w:rPr>
        <w:t>与上年决算数相同</w:t>
      </w:r>
      <w:r>
        <w:rPr>
          <w:rFonts w:hint="eastAsia" w:ascii="仿宋_GB2312" w:hAnsi="fang_song_gb2312" w:eastAsia="仿宋_GB2312" w:cs="fang_song_gb2312"/>
          <w:kern w:val="0"/>
          <w:sz w:val="32"/>
          <w:szCs w:val="32"/>
        </w:rPr>
        <w:t>。</w:t>
      </w:r>
    </w:p>
    <w:p w14:paraId="60946F19">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（2）公务用车运行维护费支出 0.00</w:t>
      </w:r>
      <w:r>
        <w:rPr>
          <w:rFonts w:hint="eastAsia" w:ascii="仿宋_GB2312" w:hAnsi="fang_song_gb2312" w:eastAsia="仿宋_GB2312" w:cs="fang_song_gb2312"/>
          <w:kern w:val="0"/>
          <w:sz w:val="32"/>
          <w:szCs w:val="32"/>
        </w:rPr>
        <w:t>万元。公务用车运行维护费主要用于按规定保留的公务用车的燃料费、维修费、过桥过路费、保险费、安全奖励费用等支出。截至</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w:t>
      </w:r>
      <w:r>
        <w:rPr>
          <w:rFonts w:hint="eastAsia" w:ascii="仿宋_GB2312" w:hAnsi="times_new_roman" w:eastAsia="仿宋_GB2312" w:cs="times_new_roman"/>
          <w:kern w:val="0"/>
          <w:sz w:val="32"/>
          <w:szCs w:val="32"/>
        </w:rPr>
        <w:t>12</w:t>
      </w:r>
      <w:r>
        <w:rPr>
          <w:rFonts w:hint="eastAsia" w:ascii="仿宋_GB2312" w:hAnsi="fang_song_gb2312" w:eastAsia="仿宋_GB2312" w:cs="fang_song_gb2312"/>
          <w:kern w:val="0"/>
          <w:sz w:val="32"/>
          <w:szCs w:val="32"/>
        </w:rPr>
        <w:t>月</w:t>
      </w:r>
      <w:r>
        <w:rPr>
          <w:rFonts w:hint="eastAsia" w:ascii="仿宋_GB2312" w:hAnsi="times_new_roman" w:eastAsia="仿宋_GB2312" w:cs="times_new_roman"/>
          <w:kern w:val="0"/>
          <w:sz w:val="32"/>
          <w:szCs w:val="32"/>
        </w:rPr>
        <w:t>31</w:t>
      </w:r>
      <w:r>
        <w:rPr>
          <w:rFonts w:hint="eastAsia" w:ascii="仿宋_GB2312" w:hAnsi="fang_song_gb2312" w:eastAsia="仿宋_GB2312" w:cs="fang_song_gb2312"/>
          <w:kern w:val="0"/>
          <w:sz w:val="32"/>
          <w:szCs w:val="32"/>
        </w:rPr>
        <w:t>日，使用财政拨款开支的公务用车保有量为</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辆。与上年决算相比，增加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w:t>
      </w:r>
      <w:r>
        <w:rPr>
          <w:rFonts w:hint="eastAsia" w:ascii="仿宋_GB2312" w:hAnsi="fang_song_gb2312" w:eastAsia="仿宋_GB2312" w:cs="fang_song_gb2312"/>
          <w:kern w:val="0"/>
          <w:sz w:val="32"/>
          <w:szCs w:val="32"/>
          <w:lang w:val="en-US" w:eastAsia="zh-CN"/>
        </w:rPr>
        <w:t>与上年决算数相同</w:t>
      </w:r>
      <w:r>
        <w:rPr>
          <w:rFonts w:hint="eastAsia" w:ascii="仿宋_GB2312" w:hAnsi="fang_song_gb2312" w:eastAsia="仿宋_GB2312" w:cs="fang_song_gb2312"/>
          <w:kern w:val="0"/>
          <w:sz w:val="32"/>
          <w:szCs w:val="32"/>
        </w:rPr>
        <w:t>。</w:t>
      </w:r>
    </w:p>
    <w:p w14:paraId="4FAD4384">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eastAsia="仿宋_GB2312"/>
          <w:kern w:val="0"/>
          <w:sz w:val="32"/>
          <w:szCs w:val="32"/>
        </w:rPr>
      </w:pPr>
      <w:r>
        <w:rPr>
          <w:rFonts w:hint="eastAsia" w:ascii="仿宋_GB2312" w:hAnsi="fang_song_gb2312" w:eastAsia="仿宋_GB2312" w:cs="fang_song_gb2312"/>
          <w:kern w:val="0"/>
          <w:sz w:val="32"/>
          <w:szCs w:val="32"/>
        </w:rPr>
        <w:t>3.公务接待费支出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万元。其中：国内公务接待支出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万元，接待</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批次，</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人次，开支内容：无；国（境）外公务接待支出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万元，接待</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批次，</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人次，开支内容：无。与上年决算相比，减少</w:t>
      </w:r>
      <w:r>
        <w:rPr>
          <w:rFonts w:hint="eastAsia" w:ascii="仿宋_GB2312" w:hAnsi="times_new_roman" w:eastAsia="仿宋_GB2312" w:cs="times_new_roman"/>
          <w:kern w:val="0"/>
          <w:sz w:val="32"/>
          <w:szCs w:val="32"/>
          <w:u w:val="single"/>
        </w:rPr>
        <w:t xml:space="preserve"> -0.10</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-100.00</w:t>
      </w:r>
      <w:r>
        <w:rPr>
          <w:rFonts w:hint="eastAsia" w:ascii="仿宋_GB2312" w:hAnsi="fang_song_gb2312" w:eastAsia="仿宋_GB2312" w:cs="fang_song_gb2312"/>
          <w:kern w:val="0"/>
          <w:sz w:val="32"/>
          <w:szCs w:val="32"/>
        </w:rPr>
        <w:t>%，变动原因：我单位当年未发生公务接待业务，经费未支出，所以与上年决算相比减少。</w:t>
      </w:r>
      <w:r>
        <w:rPr>
          <w:rFonts w:hint="eastAsia" w:ascii="fang_song_gb2312" w:hAnsi="fang_song_gb2312" w:eastAsia="仿宋_GB2312" w:cs="fang_song_gb2312"/>
          <w:color w:val="0E00FE"/>
          <w:kern w:val="0"/>
          <w:sz w:val="32"/>
          <w:szCs w:val="32"/>
        </w:rPr>
        <w:t> </w:t>
      </w:r>
    </w:p>
    <w:p w14:paraId="42C802E4">
      <w:pPr>
        <w:snapToGrid w:val="0"/>
        <w:spacing w:line="570" w:lineRule="exact"/>
        <w:ind w:firstLine="640" w:firstLineChars="200"/>
        <w:outlineLvl w:val="1"/>
        <w:rPr>
          <w:rFonts w:hint="eastAsia" w:ascii="黑体" w:hAnsi="黑体" w:eastAsia="黑体"/>
          <w:color w:val="000000"/>
          <w:sz w:val="32"/>
          <w:szCs w:val="32"/>
        </w:rPr>
      </w:pPr>
      <w:r>
        <w:rPr>
          <w:rFonts w:ascii="黑体" w:hAnsi="黑体" w:eastAsia="黑体"/>
          <w:color w:val="000000"/>
          <w:sz w:val="32"/>
          <w:szCs w:val="32"/>
        </w:rPr>
        <w:t>九、政府性基金预算财政拨款支出决算情况说明</w:t>
      </w:r>
    </w:p>
    <w:p w14:paraId="090C33DB">
      <w:pPr>
        <w:keepNext w:val="0"/>
        <w:keepLines w:val="0"/>
        <w:pageBreakBefore w:val="0"/>
        <w:widowControl/>
        <w:kinsoku/>
        <w:wordWrap/>
        <w:overflowPunct/>
        <w:topLinePunct w:val="0"/>
        <w:autoSpaceDE/>
        <w:autoSpaceDN/>
        <w:bidi w:val="0"/>
        <w:adjustRightInd/>
        <w:snapToGrid/>
        <w:spacing w:before="240" w:after="240" w:line="580" w:lineRule="exact"/>
        <w:ind w:left="0" w:leftChars="0" w:firstLine="540" w:firstLineChars="200"/>
        <w:textAlignment w:val="auto"/>
        <w:rPr>
          <w:rFonts w:hint="eastAsia"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年度政府性基金预算财政拨款支出决算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%，变动原因：本年无政府性基金预算财政拨款收、支、余。</w:t>
      </w:r>
    </w:p>
    <w:p w14:paraId="2CDE1D43">
      <w:pPr>
        <w:snapToGrid w:val="0"/>
        <w:spacing w:line="570" w:lineRule="exact"/>
        <w:ind w:firstLine="640" w:firstLineChars="200"/>
        <w:outlineLvl w:val="1"/>
        <w:rPr>
          <w:rFonts w:hint="eastAsia" w:ascii="黑体" w:hAnsi="黑体" w:eastAsia="黑体"/>
          <w:color w:val="000000"/>
          <w:sz w:val="32"/>
          <w:szCs w:val="32"/>
        </w:rPr>
      </w:pPr>
      <w:r>
        <w:rPr>
          <w:rFonts w:ascii="黑体" w:hAnsi="黑体" w:eastAsia="黑体"/>
          <w:color w:val="000000"/>
          <w:sz w:val="32"/>
          <w:szCs w:val="32"/>
        </w:rPr>
        <w:t>十、国有资本经营预算财政拨款支出决算情况说明</w:t>
      </w:r>
    </w:p>
    <w:p w14:paraId="606ED986">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fang_song_gb2312" w:eastAsia="仿宋_GB2312" w:cs="fang_song_gb2312"/>
          <w:color w:val="0E00FE"/>
          <w:kern w:val="0"/>
          <w:sz w:val="32"/>
          <w:szCs w:val="32"/>
        </w:rPr>
      </w:pP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年度国有资本经营预算财政拨款支出决算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w:t>
      </w:r>
      <w:r>
        <w:rPr>
          <w:rFonts w:hint="eastAsia" w:ascii="仿宋_GB2312" w:hAnsi="fang_song_gb2312" w:eastAsia="仿宋_GB2312" w:cs="fang_song_gb2312"/>
          <w:kern w:val="0"/>
          <w:sz w:val="32"/>
          <w:szCs w:val="32"/>
          <w:lang w:eastAsia="zh-CN"/>
        </w:rPr>
        <w:t>：</w:t>
      </w:r>
      <w:r>
        <w:rPr>
          <w:rFonts w:hint="eastAsia" w:ascii="仿宋_GB2312" w:hAnsi="fang_song_gb2312" w:eastAsia="仿宋_GB2312" w:cs="fang_song_gb2312"/>
          <w:kern w:val="0"/>
          <w:sz w:val="32"/>
          <w:szCs w:val="32"/>
        </w:rPr>
        <w:t>本年无国有资本经营预算财政拨款收、支、余。</w:t>
      </w:r>
    </w:p>
    <w:p w14:paraId="01576193">
      <w:pPr>
        <w:snapToGrid w:val="0"/>
        <w:spacing w:line="570" w:lineRule="exact"/>
        <w:ind w:firstLine="540" w:firstLineChars="200"/>
        <w:outlineLvl w:val="1"/>
        <w:rPr>
          <w:rFonts w:ascii="黑体" w:hAnsi="黑体" w:eastAsia="黑体"/>
          <w:color w:val="000000"/>
          <w:sz w:val="32"/>
          <w:szCs w:val="32"/>
        </w:rPr>
      </w:pPr>
      <w:r>
        <w:rPr>
          <w:rFonts w:ascii="黑体" w:hAnsi="黑体" w:eastAsia="黑体" w:cs="黑体"/>
          <w:b/>
          <w:bCs/>
          <w:kern w:val="0"/>
          <w:sz w:val="27"/>
          <w:szCs w:val="27"/>
        </w:rPr>
        <w:t xml:space="preserve"> </w:t>
      </w:r>
      <w:r>
        <w:rPr>
          <w:rFonts w:ascii="黑体" w:hAnsi="黑体" w:eastAsia="黑体"/>
          <w:color w:val="000000"/>
          <w:sz w:val="32"/>
          <w:szCs w:val="32"/>
        </w:rPr>
        <w:t>十一、机构运行经费支出决算情况说明</w:t>
      </w:r>
    </w:p>
    <w:p w14:paraId="2BAEC871">
      <w:pPr>
        <w:keepNext w:val="0"/>
        <w:keepLines w:val="0"/>
        <w:pageBreakBefore w:val="0"/>
        <w:widowControl/>
        <w:kinsoku/>
        <w:wordWrap/>
        <w:overflowPunct/>
        <w:topLinePunct w:val="0"/>
        <w:autoSpaceDE/>
        <w:autoSpaceDN/>
        <w:bidi w:val="0"/>
        <w:adjustRightInd/>
        <w:snapToGrid/>
        <w:spacing w:before="240" w:after="240" w:line="580" w:lineRule="exact"/>
        <w:ind w:left="0" w:leftChars="0" w:firstLine="540" w:firstLineChars="200"/>
        <w:textAlignment w:val="auto"/>
        <w:rPr>
          <w:rFonts w:hint="eastAsia" w:ascii="仿宋_GB2312" w:eastAsia="仿宋_GB2312"/>
          <w:kern w:val="0"/>
          <w:sz w:val="32"/>
          <w:szCs w:val="32"/>
        </w:rPr>
      </w:pPr>
      <w:r>
        <w:rPr>
          <w:rFonts w:ascii="fang_song_gb2312" w:hAnsi="fang_song_gb2312" w:eastAsia="fang_song_gb2312" w:cs="fang_song_gb2312"/>
          <w:kern w:val="0"/>
          <w:sz w:val="27"/>
          <w:szCs w:val="27"/>
        </w:rPr>
        <w:t xml:space="preserve">  </w:t>
      </w: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年度机构运行经费支出决算</w:t>
      </w:r>
      <w:r>
        <w:rPr>
          <w:rFonts w:hint="eastAsia" w:ascii="仿宋_GB2312" w:hAnsi="times_new_roman" w:eastAsia="仿宋_GB2312" w:cs="times_new_roman"/>
          <w:kern w:val="0"/>
          <w:sz w:val="32"/>
          <w:szCs w:val="32"/>
          <w:u w:val="single"/>
        </w:rPr>
        <w:t xml:space="preserve"> 42.13</w:t>
      </w:r>
      <w:r>
        <w:rPr>
          <w:rFonts w:hint="eastAsia" w:ascii="仿宋_GB2312" w:hAnsi="fang_song_gb2312" w:eastAsia="仿宋_GB2312" w:cs="fang_song_gb2312"/>
          <w:kern w:val="0"/>
          <w:sz w:val="32"/>
          <w:szCs w:val="32"/>
        </w:rPr>
        <w:t>万元。比上年决算相比，增加</w:t>
      </w:r>
      <w:r>
        <w:rPr>
          <w:rFonts w:hint="eastAsia" w:ascii="仿宋_GB2312" w:hAnsi="times_new_roman" w:eastAsia="仿宋_GB2312" w:cs="times_new_roman"/>
          <w:kern w:val="0"/>
          <w:sz w:val="32"/>
          <w:szCs w:val="32"/>
          <w:u w:val="single"/>
        </w:rPr>
        <w:t>31.66</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302.34</w:t>
      </w:r>
      <w:r>
        <w:rPr>
          <w:rFonts w:hint="eastAsia" w:ascii="仿宋_GB2312" w:hAnsi="fang_song_gb2312" w:eastAsia="仿宋_GB2312" w:cs="fang_song_gb2312"/>
          <w:kern w:val="0"/>
          <w:sz w:val="32"/>
          <w:szCs w:val="32"/>
        </w:rPr>
        <w:t>%，变动原因：2022年我单位业务经费在项目支出里列支，2023年开始业务经费调整到公用经费中，所以运行经费比上年增加。</w:t>
      </w:r>
      <w:r>
        <w:rPr>
          <w:rFonts w:hint="eastAsia" w:ascii="fang_song_gb2312" w:hAnsi="fang_song_gb2312" w:eastAsia="仿宋_GB2312" w:cs="fang_song_gb2312"/>
          <w:color w:val="0E00FE"/>
          <w:kern w:val="0"/>
          <w:sz w:val="32"/>
          <w:szCs w:val="32"/>
        </w:rPr>
        <w:t> </w:t>
      </w:r>
      <w:r>
        <w:rPr>
          <w:rFonts w:hint="eastAsia" w:ascii="仿宋_GB2312" w:hAnsi="fang_song_gb2312" w:eastAsia="仿宋_GB2312" w:cs="fang_song_gb2312"/>
          <w:color w:val="0E00FE"/>
          <w:kern w:val="0"/>
          <w:sz w:val="32"/>
          <w:szCs w:val="32"/>
        </w:rPr>
        <w:t xml:space="preserve"> </w:t>
      </w:r>
      <w:r>
        <w:rPr>
          <w:rFonts w:hint="eastAsia" w:ascii="fang_song_gb2312" w:hAnsi="fang_song_gb2312" w:eastAsia="仿宋_GB2312" w:cs="fang_song_gb2312"/>
          <w:color w:val="0E00FE"/>
          <w:kern w:val="0"/>
          <w:sz w:val="32"/>
          <w:szCs w:val="32"/>
        </w:rPr>
        <w:t> </w:t>
      </w:r>
    </w:p>
    <w:p w14:paraId="2E7F8657">
      <w:pPr>
        <w:snapToGrid w:val="0"/>
        <w:spacing w:line="570" w:lineRule="exact"/>
        <w:ind w:firstLine="640" w:firstLineChars="200"/>
        <w:outlineLvl w:val="1"/>
        <w:rPr>
          <w:rFonts w:ascii="黑体" w:hAnsi="黑体" w:eastAsia="黑体"/>
          <w:color w:val="000000"/>
          <w:sz w:val="32"/>
          <w:szCs w:val="32"/>
        </w:rPr>
      </w:pPr>
      <w:r>
        <w:rPr>
          <w:rFonts w:ascii="黑体" w:hAnsi="黑体" w:eastAsia="黑体"/>
          <w:color w:val="000000"/>
          <w:sz w:val="32"/>
          <w:szCs w:val="32"/>
        </w:rPr>
        <w:t>十二、政府采购支出决算情况说明</w:t>
      </w:r>
    </w:p>
    <w:p w14:paraId="6644ECEF">
      <w:pPr>
        <w:keepNext w:val="0"/>
        <w:keepLines w:val="0"/>
        <w:pageBreakBefore w:val="0"/>
        <w:widowControl/>
        <w:kinsoku/>
        <w:wordWrap/>
        <w:overflowPunct/>
        <w:topLinePunct w:val="0"/>
        <w:autoSpaceDE/>
        <w:autoSpaceDN/>
        <w:bidi w:val="0"/>
        <w:adjustRightInd/>
        <w:snapToGrid/>
        <w:spacing w:before="240" w:after="240" w:line="580" w:lineRule="exact"/>
        <w:ind w:left="0" w:leftChars="0" w:firstLine="540" w:firstLineChars="200"/>
        <w:textAlignment w:val="auto"/>
        <w:rPr>
          <w:rFonts w:hint="eastAsia"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赤峰市工业和数字经济产业促进中心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年度政府采购支出总额</w:t>
      </w:r>
      <w:r>
        <w:rPr>
          <w:rFonts w:hint="eastAsia" w:ascii="仿宋_GB2312" w:hAnsi="times_new_roman" w:eastAsia="仿宋_GB2312" w:cs="times_new_roman"/>
          <w:kern w:val="0"/>
          <w:sz w:val="32"/>
          <w:szCs w:val="32"/>
          <w:u w:val="single"/>
        </w:rPr>
        <w:t xml:space="preserve"> 6.02</w:t>
      </w:r>
      <w:r>
        <w:rPr>
          <w:rFonts w:hint="eastAsia" w:ascii="仿宋_GB2312" w:hAnsi="fang_song_gb2312" w:eastAsia="仿宋_GB2312" w:cs="fang_song_gb2312"/>
          <w:kern w:val="0"/>
          <w:sz w:val="32"/>
          <w:szCs w:val="32"/>
        </w:rPr>
        <w:t>万元，其中：政府采购货物支出</w:t>
      </w:r>
      <w:r>
        <w:rPr>
          <w:rFonts w:hint="eastAsia" w:ascii="仿宋_GB2312" w:hAnsi="times_new_roman" w:eastAsia="仿宋_GB2312" w:cs="times_new_roman"/>
          <w:kern w:val="0"/>
          <w:sz w:val="32"/>
          <w:szCs w:val="32"/>
          <w:u w:val="single"/>
        </w:rPr>
        <w:t xml:space="preserve"> 0.40</w:t>
      </w:r>
      <w:r>
        <w:rPr>
          <w:rFonts w:hint="eastAsia" w:ascii="仿宋_GB2312" w:hAnsi="fang_song_gb2312" w:eastAsia="仿宋_GB2312" w:cs="fang_song_gb2312"/>
          <w:kern w:val="0"/>
          <w:sz w:val="32"/>
          <w:szCs w:val="32"/>
        </w:rPr>
        <w:t>万元、政府采购工程支出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万元、政府采购服务支出</w:t>
      </w:r>
      <w:r>
        <w:rPr>
          <w:rFonts w:hint="eastAsia" w:ascii="仿宋_GB2312" w:hAnsi="times_new_roman" w:eastAsia="仿宋_GB2312" w:cs="times_new_roman"/>
          <w:kern w:val="0"/>
          <w:sz w:val="32"/>
          <w:szCs w:val="32"/>
          <w:u w:val="single"/>
        </w:rPr>
        <w:t xml:space="preserve"> 5.62</w:t>
      </w:r>
      <w:r>
        <w:rPr>
          <w:rFonts w:hint="eastAsia" w:ascii="仿宋_GB2312" w:hAnsi="fang_song_gb2312" w:eastAsia="仿宋_GB2312" w:cs="fang_song_gb2312"/>
          <w:kern w:val="0"/>
          <w:sz w:val="32"/>
          <w:szCs w:val="32"/>
        </w:rPr>
        <w:t>万元。政府采购授予中小企业合同金额</w:t>
      </w:r>
      <w:r>
        <w:rPr>
          <w:rFonts w:hint="eastAsia" w:ascii="仿宋_GB2312" w:hAnsi="times_new_roman" w:eastAsia="仿宋_GB2312" w:cs="times_new_roman"/>
          <w:kern w:val="0"/>
          <w:sz w:val="32"/>
          <w:szCs w:val="32"/>
          <w:u w:val="single"/>
        </w:rPr>
        <w:t xml:space="preserve"> 4.34</w:t>
      </w:r>
      <w:r>
        <w:rPr>
          <w:rFonts w:hint="eastAsia" w:ascii="仿宋_GB2312" w:hAnsi="fang_song_gb2312" w:eastAsia="仿宋_GB2312" w:cs="fang_song_gb2312"/>
          <w:kern w:val="0"/>
          <w:sz w:val="32"/>
          <w:szCs w:val="32"/>
        </w:rPr>
        <w:t>万元，占政府采购支出总额的</w:t>
      </w:r>
      <w:r>
        <w:rPr>
          <w:rFonts w:hint="eastAsia" w:ascii="仿宋_GB2312" w:hAnsi="times_new_roman" w:eastAsia="仿宋_GB2312" w:cs="times_new_roman"/>
          <w:kern w:val="0"/>
          <w:sz w:val="32"/>
          <w:szCs w:val="32"/>
          <w:u w:val="single"/>
        </w:rPr>
        <w:t>72.00</w:t>
      </w:r>
      <w:r>
        <w:rPr>
          <w:rFonts w:hint="eastAsia" w:ascii="仿宋_GB2312" w:hAnsi="fang_song_gb2312" w:eastAsia="仿宋_GB2312" w:cs="fang_song_gb2312"/>
          <w:kern w:val="0"/>
          <w:sz w:val="32"/>
          <w:szCs w:val="32"/>
        </w:rPr>
        <w:t>%，其中：授予小微企业合同金额</w:t>
      </w:r>
      <w:r>
        <w:rPr>
          <w:rFonts w:hint="eastAsia" w:ascii="times_new_roman" w:hAnsi="times_new_roman" w:eastAsia="仿宋_GB2312" w:cs="times_new_roman"/>
          <w:kern w:val="0"/>
          <w:sz w:val="32"/>
          <w:szCs w:val="32"/>
          <w:u w:val="single"/>
        </w:rPr>
        <w:t> </w:t>
      </w:r>
      <w:r>
        <w:rPr>
          <w:rFonts w:hint="eastAsia" w:ascii="仿宋_GB2312" w:hAnsi="times_new_roman" w:eastAsia="仿宋_GB2312" w:cs="times_new_roman"/>
          <w:kern w:val="0"/>
          <w:sz w:val="32"/>
          <w:szCs w:val="32"/>
          <w:u w:val="single"/>
        </w:rPr>
        <w:t xml:space="preserve"> 4.34</w:t>
      </w:r>
      <w:r>
        <w:rPr>
          <w:rFonts w:hint="eastAsia" w:ascii="仿宋_GB2312" w:hAnsi="fang_song_gb2312" w:eastAsia="仿宋_GB2312" w:cs="fang_song_gb2312"/>
          <w:kern w:val="0"/>
          <w:sz w:val="32"/>
          <w:szCs w:val="32"/>
        </w:rPr>
        <w:t>万元，占政府采购支出总额的</w:t>
      </w:r>
      <w:r>
        <w:rPr>
          <w:rFonts w:hint="eastAsia" w:ascii="仿宋_GB2312" w:hAnsi="times_new_roman" w:eastAsia="仿宋_GB2312" w:cs="times_new_roman"/>
          <w:kern w:val="0"/>
          <w:sz w:val="32"/>
          <w:szCs w:val="32"/>
          <w:u w:val="single"/>
        </w:rPr>
        <w:t>72.00</w:t>
      </w:r>
      <w:r>
        <w:rPr>
          <w:rFonts w:hint="eastAsia" w:ascii="仿宋_GB2312" w:hAnsi="fang_song_gb2312" w:eastAsia="仿宋_GB2312" w:cs="fang_song_gb2312"/>
          <w:kern w:val="0"/>
          <w:sz w:val="32"/>
          <w:szCs w:val="32"/>
        </w:rPr>
        <w:t>%；货物采购授予中小企业合同金额占货物支出金额的</w:t>
      </w:r>
      <w:r>
        <w:rPr>
          <w:rFonts w:hint="eastAsia" w:ascii="仿宋_GB2312" w:hAnsi="times_new_roman" w:eastAsia="仿宋_GB2312" w:cs="times_new_roman"/>
          <w:kern w:val="0"/>
          <w:sz w:val="32"/>
          <w:szCs w:val="32"/>
          <w:u w:val="single"/>
        </w:rPr>
        <w:t>9.22</w:t>
      </w:r>
      <w:r>
        <w:rPr>
          <w:rFonts w:hint="eastAsia" w:ascii="仿宋_GB2312" w:hAnsi="fang_song_gb2312" w:eastAsia="仿宋_GB2312" w:cs="fang_song_gb2312"/>
          <w:kern w:val="0"/>
          <w:sz w:val="32"/>
          <w:szCs w:val="32"/>
        </w:rPr>
        <w:t>%，工程采购授予中小企业合同金额占工程支出金额的</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%，服务采购授予中小企业合同金额占服务支出金额的</w:t>
      </w:r>
      <w:r>
        <w:rPr>
          <w:rFonts w:hint="eastAsia" w:ascii="仿宋_GB2312" w:hAnsi="times_new_roman" w:eastAsia="仿宋_GB2312" w:cs="times_new_roman"/>
          <w:kern w:val="0"/>
          <w:sz w:val="32"/>
          <w:szCs w:val="32"/>
          <w:u w:val="single"/>
        </w:rPr>
        <w:t>90.78</w:t>
      </w:r>
      <w:r>
        <w:rPr>
          <w:rFonts w:hint="eastAsia" w:ascii="仿宋_GB2312" w:hAnsi="fang_song_gb2312" w:eastAsia="仿宋_GB2312" w:cs="fang_song_gb2312"/>
          <w:kern w:val="0"/>
          <w:sz w:val="32"/>
          <w:szCs w:val="32"/>
        </w:rPr>
        <w:t>%。</w:t>
      </w:r>
    </w:p>
    <w:p w14:paraId="451FCBA6">
      <w:pPr>
        <w:snapToGrid w:val="0"/>
        <w:spacing w:line="570" w:lineRule="exact"/>
        <w:ind w:firstLine="540" w:firstLineChars="200"/>
        <w:outlineLvl w:val="1"/>
        <w:rPr>
          <w:rFonts w:ascii="黑体" w:hAnsi="黑体" w:eastAsia="黑体"/>
          <w:color w:val="000000"/>
          <w:sz w:val="32"/>
          <w:szCs w:val="32"/>
        </w:rPr>
      </w:pPr>
      <w:r>
        <w:rPr>
          <w:rFonts w:ascii="Calibri" w:hAnsi="Calibri" w:eastAsia="Calibri" w:cs="Calibri"/>
          <w:b/>
          <w:bCs/>
          <w:kern w:val="0"/>
          <w:sz w:val="27"/>
          <w:szCs w:val="27"/>
        </w:rPr>
        <w:t> </w:t>
      </w:r>
      <w:r>
        <w:rPr>
          <w:rFonts w:ascii="黑体" w:hAnsi="黑体" w:eastAsia="黑体"/>
          <w:color w:val="000000"/>
          <w:sz w:val="32"/>
          <w:szCs w:val="32"/>
        </w:rPr>
        <w:t>十三、国有资产占用情况说明</w:t>
      </w:r>
    </w:p>
    <w:p w14:paraId="12AB49D1">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eastAsia="仿宋_GB2312"/>
          <w:kern w:val="0"/>
          <w:sz w:val="32"/>
          <w:szCs w:val="32"/>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eastAsiaTheme="minorEastAsia"/>
          <w:kern w:val="0"/>
          <w:sz w:val="27"/>
          <w:szCs w:val="27"/>
        </w:rPr>
        <w:t xml:space="preserve"> </w:t>
      </w:r>
      <w:r>
        <w:rPr>
          <w:rFonts w:hint="eastAsia" w:ascii="仿宋_GB2312" w:hAnsi="宋体" w:eastAsia="仿宋_GB2312" w:cs="宋体"/>
          <w:kern w:val="0"/>
          <w:sz w:val="32"/>
          <w:szCs w:val="32"/>
        </w:rPr>
        <w:t>赤峰市工业和数字经济产业促进中心</w:t>
      </w:r>
      <w:r>
        <w:rPr>
          <w:rFonts w:hint="eastAsia" w:ascii="仿宋_GB2312" w:hAnsi="fang_song_gb2312" w:eastAsia="仿宋_GB2312" w:cs="fang_song_gb2312"/>
          <w:kern w:val="0"/>
          <w:sz w:val="32"/>
          <w:szCs w:val="32"/>
        </w:rPr>
        <w:t xml:space="preserve"> </w:t>
      </w:r>
      <w:r>
        <w:rPr>
          <w:rFonts w:hint="eastAsia" w:ascii="仿宋_GB2312" w:hAnsi="宋体" w:eastAsia="仿宋_GB2312" w:cs="宋体"/>
          <w:kern w:val="0"/>
          <w:sz w:val="32"/>
          <w:szCs w:val="32"/>
        </w:rPr>
        <w:t>截至</w:t>
      </w:r>
      <w:r>
        <w:rPr>
          <w:rFonts w:hint="eastAsia" w:ascii="仿宋_GB2312" w:hAnsi="times_new_roman" w:eastAsia="仿宋_GB2312" w:cs="times_new_roman"/>
          <w:kern w:val="0"/>
          <w:sz w:val="32"/>
          <w:szCs w:val="32"/>
        </w:rPr>
        <w:t>2023</w:t>
      </w:r>
      <w:r>
        <w:rPr>
          <w:rFonts w:hint="eastAsia" w:ascii="仿宋_GB2312" w:hAnsi="宋体" w:eastAsia="仿宋_GB2312" w:cs="宋体"/>
          <w:kern w:val="0"/>
          <w:sz w:val="32"/>
          <w:szCs w:val="32"/>
        </w:rPr>
        <w:t>年</w:t>
      </w:r>
      <w:r>
        <w:rPr>
          <w:rFonts w:hint="eastAsia" w:ascii="仿宋_GB2312" w:hAnsi="times_new_roman" w:eastAsia="仿宋_GB2312" w:cs="times_new_roman"/>
          <w:kern w:val="0"/>
          <w:sz w:val="32"/>
          <w:szCs w:val="32"/>
        </w:rPr>
        <w:t>12</w:t>
      </w:r>
      <w:r>
        <w:rPr>
          <w:rFonts w:hint="eastAsia" w:ascii="仿宋_GB2312" w:hAnsi="宋体" w:eastAsia="仿宋_GB2312" w:cs="宋体"/>
          <w:kern w:val="0"/>
          <w:sz w:val="32"/>
          <w:szCs w:val="32"/>
        </w:rPr>
        <w:t>月</w:t>
      </w:r>
      <w:r>
        <w:rPr>
          <w:rFonts w:hint="eastAsia" w:ascii="仿宋_GB2312" w:hAnsi="times_new_roman" w:eastAsia="仿宋_GB2312" w:cs="times_new_roman"/>
          <w:kern w:val="0"/>
          <w:sz w:val="32"/>
          <w:szCs w:val="32"/>
        </w:rPr>
        <w:t>31</w:t>
      </w:r>
      <w:r>
        <w:rPr>
          <w:rFonts w:hint="eastAsia" w:ascii="仿宋_GB2312" w:hAnsi="宋体" w:eastAsia="仿宋_GB2312" w:cs="宋体"/>
          <w:kern w:val="0"/>
          <w:sz w:val="32"/>
          <w:szCs w:val="32"/>
        </w:rPr>
        <w:t>日，本单位共有车辆</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辆，其中：副部（省）级及以上领导用车</w:t>
      </w:r>
      <w:r>
        <w:rPr>
          <w:rFonts w:hint="eastAsia" w:ascii="仿宋_GB2312" w:hAnsi="times_new_roman" w:eastAsia="仿宋_GB2312" w:cs="times_new_roman"/>
          <w:kern w:val="0"/>
          <w:sz w:val="32"/>
          <w:szCs w:val="32"/>
          <w:u w:val="single"/>
        </w:rPr>
        <w:t xml:space="preserve">0 </w:t>
      </w:r>
      <w:r>
        <w:rPr>
          <w:rFonts w:hint="eastAsia" w:ascii="仿宋_GB2312" w:hAnsi="宋体" w:eastAsia="仿宋_GB2312" w:cs="宋体"/>
          <w:kern w:val="0"/>
          <w:sz w:val="32"/>
          <w:szCs w:val="32"/>
        </w:rPr>
        <w:t>辆、主要负责人用车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辆、机要通信用车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辆、应急保障用车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辆、执法执勤用车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辆、特种专业技术用车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辆、离退休干部服务用车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辆，其他用车</w:t>
      </w:r>
      <w:r>
        <w:rPr>
          <w:rFonts w:hint="eastAsia" w:ascii="仿宋_GB2312" w:hAnsi="times_new_roman" w:eastAsia="仿宋_GB2312" w:cs="times_new_roman"/>
          <w:kern w:val="0"/>
          <w:sz w:val="32"/>
          <w:szCs w:val="32"/>
          <w:u w:val="single"/>
        </w:rPr>
        <w:t xml:space="preserve"> 0</w:t>
      </w:r>
      <w:r>
        <w:rPr>
          <w:rFonts w:hint="eastAsia" w:ascii="仿宋_GB2312" w:hAnsi="宋体" w:eastAsia="仿宋_GB2312" w:cs="宋体"/>
          <w:kern w:val="0"/>
          <w:sz w:val="32"/>
          <w:szCs w:val="32"/>
        </w:rPr>
        <w:t>辆；单价</w:t>
      </w:r>
      <w:r>
        <w:rPr>
          <w:rFonts w:hint="eastAsia" w:ascii="仿宋_GB2312" w:hAnsi="fang_song_gb2312" w:eastAsia="仿宋_GB2312" w:cs="fang_song_gb2312"/>
          <w:kern w:val="0"/>
          <w:sz w:val="32"/>
          <w:szCs w:val="32"/>
        </w:rPr>
        <w:t>100</w:t>
      </w:r>
      <w:r>
        <w:rPr>
          <w:rFonts w:hint="eastAsia" w:ascii="仿宋_GB2312" w:hAnsi="宋体" w:eastAsia="仿宋_GB2312" w:cs="宋体"/>
          <w:kern w:val="0"/>
          <w:sz w:val="32"/>
          <w:szCs w:val="32"/>
        </w:rPr>
        <w:t>万元（含）以上的设备（不含车辆）</w:t>
      </w:r>
      <w:r>
        <w:rPr>
          <w:rFonts w:hint="eastAsia" w:ascii="仿宋_GB2312" w:hAnsi="times_new_roman" w:eastAsia="仿宋_GB2312" w:cs="times_new_roman"/>
          <w:kern w:val="0"/>
          <w:sz w:val="32"/>
          <w:szCs w:val="32"/>
          <w:u w:val="single"/>
        </w:rPr>
        <w:t xml:space="preserve"> 1</w:t>
      </w:r>
      <w:r>
        <w:rPr>
          <w:rFonts w:hint="eastAsia" w:ascii="仿宋_GB2312" w:hAnsi="宋体" w:eastAsia="仿宋_GB2312" w:cs="宋体"/>
          <w:kern w:val="0"/>
          <w:sz w:val="32"/>
          <w:szCs w:val="32"/>
        </w:rPr>
        <w:t>台（套）。</w:t>
      </w:r>
      <w:r>
        <w:rPr>
          <w:rFonts w:hint="eastAsia" w:eastAsia="仿宋_GB2312"/>
          <w:b/>
          <w:bCs/>
          <w:kern w:val="0"/>
          <w:sz w:val="32"/>
          <w:szCs w:val="32"/>
        </w:rPr>
        <w:t> </w:t>
      </w:r>
      <w:r>
        <w:rPr>
          <w:rFonts w:hint="eastAsia" w:ascii="仿宋_GB2312" w:eastAsia="仿宋_GB2312"/>
          <w:b/>
          <w:bCs/>
          <w:kern w:val="0"/>
          <w:sz w:val="32"/>
          <w:szCs w:val="32"/>
        </w:rPr>
        <w:t>﻿</w:t>
      </w:r>
    </w:p>
    <w:p w14:paraId="2CC37081">
      <w:pPr>
        <w:snapToGrid w:val="0"/>
        <w:spacing w:line="570" w:lineRule="exact"/>
        <w:ind w:firstLine="640" w:firstLineChars="200"/>
        <w:outlineLvl w:val="1"/>
        <w:rPr>
          <w:rFonts w:ascii="黑体" w:hAnsi="黑体" w:eastAsia="黑体"/>
          <w:color w:val="000000"/>
          <w:sz w:val="32"/>
          <w:szCs w:val="32"/>
        </w:rPr>
      </w:pPr>
      <w:r>
        <w:rPr>
          <w:rFonts w:ascii="黑体" w:hAnsi="黑体" w:eastAsia="黑体"/>
          <w:color w:val="000000"/>
          <w:sz w:val="32"/>
          <w:szCs w:val="32"/>
        </w:rPr>
        <w:t>十四、预算绩效情况说明</w:t>
      </w:r>
    </w:p>
    <w:p w14:paraId="3597735E">
      <w:pPr>
        <w:pStyle w:val="31"/>
        <w:widowControl/>
        <w:spacing w:before="240" w:after="240"/>
        <w:ind w:firstLine="643"/>
        <w:jc w:val="left"/>
        <w:rPr>
          <w:rFonts w:hint="eastAsia" w:ascii="仿宋_GB2312" w:hAnsi="黑体" w:eastAsia="仿宋_GB2312"/>
          <w:kern w:val="0"/>
          <w:sz w:val="24"/>
        </w:rPr>
      </w:pPr>
      <w:r>
        <w:rPr>
          <w:rFonts w:hint="eastAsia" w:ascii="方正楷体_GB2312" w:hAnsi="方正楷体_GB2312" w:eastAsia="方正楷体_GB2312" w:cs="方正楷体_GB2312"/>
          <w:b/>
          <w:bCs/>
          <w:kern w:val="0"/>
          <w:sz w:val="32"/>
          <w:szCs w:val="32"/>
        </w:rPr>
        <w:t>（一）预算绩效管理工作开展情况。</w:t>
      </w:r>
    </w:p>
    <w:p w14:paraId="12124A8C">
      <w:pPr>
        <w:pStyle w:val="32"/>
        <w:keepNext w:val="0"/>
        <w:keepLines w:val="0"/>
        <w:pageBreakBefore w:val="0"/>
        <w:widowControl/>
        <w:kinsoku/>
        <w:wordWrap/>
        <w:overflowPunct/>
        <w:topLinePunct w:val="0"/>
        <w:autoSpaceDE/>
        <w:autoSpaceDN/>
        <w:bidi w:val="0"/>
        <w:adjustRightInd/>
        <w:snapToGrid/>
        <w:spacing w:before="240" w:line="580" w:lineRule="exact"/>
        <w:ind w:firstLine="640" w:firstLineChars="200"/>
        <w:jc w:val="left"/>
        <w:textAlignment w:val="auto"/>
        <w:rPr>
          <w:rFonts w:hint="eastAsia" w:ascii="仿宋_GB2312" w:eastAsia="仿宋_GB2312"/>
          <w:kern w:val="0"/>
          <w:sz w:val="24"/>
        </w:rPr>
      </w:pPr>
      <w:r>
        <w:rPr>
          <w:rFonts w:hint="eastAsia" w:ascii="仿宋_GB2312" w:hAnsi="仿宋_GB2312" w:eastAsia="仿宋_GB2312" w:cs="仿宋_GB2312"/>
          <w:kern w:val="0"/>
          <w:sz w:val="32"/>
          <w:szCs w:val="32"/>
        </w:rPr>
        <w:t>赤峰市工业和数字经济产业促进中心单位根据预算绩效管理要求组织对2023年项目支出开展绩效自评，其中一般公共预算项目</w:t>
      </w:r>
      <w:r>
        <w:rPr>
          <w:rFonts w:hint="eastAsia" w:ascii="仿宋_GB2312" w:eastAsia="仿宋_GB2312"/>
          <w:kern w:val="0"/>
          <w:sz w:val="32"/>
          <w:szCs w:val="32"/>
          <w:u w:val="single"/>
        </w:rPr>
        <w:t>2</w:t>
      </w:r>
      <w:r>
        <w:rPr>
          <w:rFonts w:hint="eastAsia" w:ascii="仿宋_GB2312" w:hAnsi="仿宋_GB2312" w:eastAsia="仿宋_GB2312" w:cs="仿宋_GB2312"/>
          <w:kern w:val="0"/>
          <w:sz w:val="32"/>
          <w:szCs w:val="32"/>
        </w:rPr>
        <w:t>个，涉及资金</w:t>
      </w:r>
      <w:r>
        <w:rPr>
          <w:rFonts w:hint="eastAsia" w:ascii="仿宋_GB2312" w:eastAsia="仿宋_GB2312"/>
          <w:kern w:val="0"/>
          <w:sz w:val="32"/>
          <w:szCs w:val="32"/>
          <w:u w:val="single"/>
          <w:lang w:val="en-US" w:eastAsia="zh-CN"/>
        </w:rPr>
        <w:t>106.98</w:t>
      </w:r>
      <w:r>
        <w:rPr>
          <w:rFonts w:hint="eastAsia" w:ascii="仿宋_GB2312" w:hAnsi="仿宋_GB2312" w:eastAsia="仿宋_GB2312" w:cs="仿宋_GB2312"/>
          <w:kern w:val="0"/>
          <w:sz w:val="32"/>
          <w:szCs w:val="32"/>
        </w:rPr>
        <w:t>万元，占一般公共预算项目支出总额的</w:t>
      </w:r>
      <w:r>
        <w:rPr>
          <w:rFonts w:hint="eastAsia" w:ascii="仿宋_GB2312" w:eastAsia="仿宋_GB2312"/>
          <w:kern w:val="0"/>
          <w:sz w:val="32"/>
          <w:szCs w:val="32"/>
        </w:rPr>
        <w:t>100</w:t>
      </w:r>
      <w:r>
        <w:rPr>
          <w:rFonts w:hint="eastAsia" w:ascii="仿宋_GB2312" w:hAnsi="仿宋_GB2312" w:eastAsia="仿宋_GB2312" w:cs="仿宋_GB2312"/>
          <w:kern w:val="0"/>
          <w:sz w:val="32"/>
          <w:szCs w:val="32"/>
        </w:rPr>
        <w:t>%；政府性基金预算项目</w:t>
      </w:r>
      <w:r>
        <w:rPr>
          <w:rFonts w:hint="eastAsia" w:ascii="仿宋_GB2312" w:eastAsia="仿宋_GB2312"/>
          <w:kern w:val="0"/>
          <w:sz w:val="32"/>
          <w:szCs w:val="32"/>
          <w:u w:val="single"/>
        </w:rPr>
        <w:t>0</w:t>
      </w:r>
      <w:r>
        <w:rPr>
          <w:rFonts w:hint="eastAsia" w:ascii="仿宋_GB2312" w:hAnsi="仿宋_GB2312" w:eastAsia="仿宋_GB2312" w:cs="仿宋_GB2312"/>
          <w:kern w:val="0"/>
          <w:sz w:val="32"/>
          <w:szCs w:val="32"/>
        </w:rPr>
        <w:t>个，涉及资金</w:t>
      </w:r>
      <w:r>
        <w:rPr>
          <w:rFonts w:hint="eastAsia" w:ascii="仿宋_GB2312" w:eastAsia="仿宋_GB2312"/>
          <w:kern w:val="0"/>
          <w:sz w:val="32"/>
          <w:szCs w:val="32"/>
          <w:u w:val="single"/>
        </w:rPr>
        <w:t>0</w:t>
      </w:r>
      <w:r>
        <w:rPr>
          <w:rFonts w:hint="eastAsia" w:ascii="仿宋_GB2312" w:hAnsi="仿宋_GB2312" w:eastAsia="仿宋_GB2312" w:cs="仿宋_GB2312"/>
          <w:kern w:val="0"/>
          <w:sz w:val="32"/>
          <w:szCs w:val="32"/>
        </w:rPr>
        <w:t>万元，占应纳入绩效自评的政府性基金预算项目支出总额的</w:t>
      </w:r>
      <w:r>
        <w:rPr>
          <w:rFonts w:hint="eastAsia" w:ascii="仿宋_GB2312" w:eastAsia="仿宋_GB2312"/>
          <w:kern w:val="0"/>
          <w:sz w:val="32"/>
          <w:szCs w:val="32"/>
        </w:rPr>
        <w:t>100</w:t>
      </w:r>
      <w:r>
        <w:rPr>
          <w:rFonts w:hint="eastAsia" w:ascii="仿宋_GB2312" w:hAnsi="仿宋_GB2312" w:eastAsia="仿宋_GB2312" w:cs="仿宋_GB2312"/>
          <w:kern w:val="0"/>
          <w:sz w:val="32"/>
          <w:szCs w:val="32"/>
        </w:rPr>
        <w:t>%。</w:t>
      </w:r>
    </w:p>
    <w:p w14:paraId="7BD1C22D">
      <w:pPr>
        <w:pStyle w:val="31"/>
        <w:widowControl/>
        <w:spacing w:before="240" w:after="240"/>
        <w:ind w:firstLine="640" w:firstLineChars="200"/>
        <w:jc w:val="left"/>
        <w:rPr>
          <w:rFonts w:hint="eastAsia" w:ascii="仿宋_GB2312" w:hAnsi="黑体" w:eastAsia="仿宋_GB2312" w:cs="楷体"/>
          <w:b/>
          <w:bCs/>
          <w:kern w:val="0"/>
          <w:sz w:val="32"/>
          <w:szCs w:val="32"/>
        </w:rPr>
      </w:pPr>
      <w:r>
        <w:rPr>
          <w:rFonts w:hint="eastAsia" w:ascii="方正楷体_GB2312" w:hAnsi="方正楷体_GB2312" w:eastAsia="方正楷体_GB2312" w:cs="方正楷体_GB2312"/>
          <w:b/>
          <w:bCs/>
          <w:kern w:val="0"/>
          <w:sz w:val="32"/>
          <w:szCs w:val="32"/>
        </w:rPr>
        <w:t>（二）单位决算中项目绩效自评结果。</w:t>
      </w:r>
    </w:p>
    <w:p w14:paraId="2022B2C1">
      <w:pPr>
        <w:pStyle w:val="32"/>
        <w:keepNext w:val="0"/>
        <w:keepLines w:val="0"/>
        <w:pageBreakBefore w:val="0"/>
        <w:widowControl/>
        <w:kinsoku/>
        <w:wordWrap/>
        <w:overflowPunct/>
        <w:topLinePunct w:val="0"/>
        <w:autoSpaceDE/>
        <w:autoSpaceDN/>
        <w:bidi w:val="0"/>
        <w:adjustRightInd/>
        <w:snapToGrid/>
        <w:spacing w:before="240" w:line="580" w:lineRule="exact"/>
        <w:ind w:firstLine="640" w:firstLineChars="200"/>
        <w:jc w:val="left"/>
        <w:textAlignment w:val="auto"/>
        <w:rPr>
          <w:rFonts w:hint="eastAsia" w:ascii="仿宋_GB2312" w:eastAsia="仿宋_GB2312"/>
          <w:kern w:val="0"/>
          <w:sz w:val="24"/>
        </w:rPr>
      </w:pPr>
      <w:r>
        <w:rPr>
          <w:rFonts w:hint="eastAsia" w:ascii="仿宋_GB2312" w:hAnsi="仿宋_GB2312" w:eastAsia="仿宋_GB2312" w:cs="仿宋_GB2312"/>
          <w:kern w:val="0"/>
          <w:sz w:val="32"/>
          <w:szCs w:val="32"/>
        </w:rPr>
        <w:t>赤峰市工业和数字经济产业促进中心单位2023年度在决算中反映“中小企业公共服务平台和中小微企业金融服务信用信息平台运行”、“中小企业公共服务平台和中小微企业金融服务信用信息平台运行（上年结转）”</w:t>
      </w:r>
      <w:r>
        <w:rPr>
          <w:rFonts w:hint="eastAsia" w:ascii="仿宋_GB2312" w:eastAsia="仿宋_GB2312"/>
          <w:kern w:val="0"/>
          <w:sz w:val="32"/>
          <w:szCs w:val="32"/>
          <w:u w:val="single"/>
        </w:rPr>
        <w:t xml:space="preserve"> 2</w:t>
      </w:r>
      <w:r>
        <w:rPr>
          <w:rFonts w:hint="eastAsia" w:ascii="仿宋_GB2312" w:hAnsi="仿宋_GB2312" w:eastAsia="仿宋_GB2312" w:cs="仿宋_GB2312"/>
          <w:kern w:val="0"/>
          <w:sz w:val="32"/>
          <w:szCs w:val="32"/>
        </w:rPr>
        <w:t>个一般公共预算项目的绩效自评结果。</w:t>
      </w:r>
    </w:p>
    <w:p w14:paraId="1E95540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eastAsia="仿宋_GB2312"/>
          <w:kern w:val="0"/>
          <w:sz w:val="32"/>
          <w:szCs w:val="32"/>
        </w:rPr>
        <w:t>1.</w:t>
      </w:r>
      <w:r>
        <w:rPr>
          <w:rFonts w:hint="eastAsia" w:ascii="仿宋_GB2312" w:hAnsi="仿宋_GB2312" w:eastAsia="仿宋_GB2312" w:cs="仿宋_GB2312"/>
          <w:kern w:val="0"/>
          <w:sz w:val="32"/>
          <w:szCs w:val="32"/>
        </w:rPr>
        <w:t xml:space="preserve"> 中小企业公共服务平台和中小微企业金融服务信用信息平台运行项目自评综述：根据年初设定的绩效目标，项目自评得分</w:t>
      </w:r>
      <w:r>
        <w:rPr>
          <w:rFonts w:hint="eastAsia" w:ascii="仿宋_GB2312" w:eastAsia="仿宋_GB2312"/>
          <w:kern w:val="0"/>
          <w:sz w:val="32"/>
          <w:szCs w:val="32"/>
          <w:u w:val="single"/>
        </w:rPr>
        <w:t>93.44</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56</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55.63</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99.34</w:t>
      </w:r>
      <w:r>
        <w:rPr>
          <w:rFonts w:hint="eastAsia" w:ascii="仿宋_GB2312" w:hAnsi="仿宋_GB2312" w:eastAsia="仿宋_GB2312" w:cs="仿宋_GB2312"/>
          <w:kern w:val="0"/>
          <w:sz w:val="32"/>
          <w:szCs w:val="32"/>
        </w:rPr>
        <w:t>%。项目绩效目标完成情况：截止到2023年12月底，该项目资金支出55.63万元，已经完成了中小企业公共服务平台网络运维和中小微企业金融服务信用信息共享平台运维服务的采购相关工作。定期开展网络平台安全检查12次，每月检查一次，及时发布各类信息合计1139条。通过线上线下相结合、网络平台、公众号等多种渠道开展惠企业政策宣传、金融产品推介等，便捷了企业政策搜寻通道、降低融资搜寻成本，扩大了企业对政策的知晓范围。发现的主要问题及原因：本项目立项实施根据相关政策文件开展，项目报财政局审批，按照规定的程序申请设立，不存在问题。2023年度项目有序进行，保障了我单位两个平台正常运行，相关工作得以顺利开展。本项目款项专用，统筹安排，按照计划管理，按照实际发生支付，实际支出与项目规定的用途一致，不存在超范围超标准支出，挤占挪用等违法违规问题，资金管理不存在问题。下一步改进措施:加强年初预算管理，参考多方因素，完善项目设立。继续严格按照相关管理制度要求，严格规范使用项目资金，做到来源清楚、去向明确，进一步提高资金使用的规范性。</w:t>
      </w:r>
    </w:p>
    <w:p w14:paraId="4C8A3ED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bCs/>
          <w:sz w:val="32"/>
          <w:szCs w:val="32"/>
        </w:rPr>
      </w:pPr>
      <w:r>
        <w:rPr>
          <w:rFonts w:hint="eastAsia" w:ascii="仿宋_GB2312" w:eastAsia="仿宋_GB2312"/>
          <w:kern w:val="0"/>
          <w:sz w:val="32"/>
          <w:szCs w:val="32"/>
        </w:rPr>
        <w:t>2.</w:t>
      </w:r>
      <w:r>
        <w:rPr>
          <w:rFonts w:hint="eastAsia" w:ascii="仿宋_GB2312" w:hAnsi="仿宋_GB2312" w:eastAsia="仿宋_GB2312" w:cs="仿宋_GB2312"/>
          <w:kern w:val="0"/>
          <w:sz w:val="32"/>
          <w:szCs w:val="32"/>
        </w:rPr>
        <w:t xml:space="preserve"> 中小企业公共服务平台和中小微企业金融服务信用信息平台运行（上年结转）项目自评综述：根据年初设定的绩效目标，项目自评得分</w:t>
      </w:r>
      <w:r>
        <w:rPr>
          <w:rFonts w:hint="eastAsia" w:ascii="仿宋_GB2312" w:eastAsia="仿宋_GB2312"/>
          <w:kern w:val="0"/>
          <w:sz w:val="32"/>
          <w:szCs w:val="32"/>
          <w:u w:val="single"/>
        </w:rPr>
        <w:t>95.91</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56</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55.63</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99.34</w:t>
      </w:r>
      <w:r>
        <w:rPr>
          <w:rFonts w:hint="eastAsia" w:ascii="仿宋_GB2312" w:hAnsi="仿宋_GB2312" w:eastAsia="仿宋_GB2312" w:cs="仿宋_GB2312"/>
          <w:kern w:val="0"/>
          <w:sz w:val="32"/>
          <w:szCs w:val="32"/>
        </w:rPr>
        <w:t>%。项目绩效目标完成情况：该项目资金支出34.9万元，已经完成了中小企业公共服务平台网络运维和中小微企业金融服务信用信息共享平台运维服务的采购相关工作。定期开展网络平台安全检查12次，每月检查一次，及时发布各类信息合计1409条。通过线上线下相结合、网络平台、公众号等多种渠道开展惠企业政策宣传、金融产品推介等，便捷了企业政策搜寻通道、降低融资搜寻成本，扩大了企业对政策的知晓范围。发现的主要问题及原因：</w:t>
      </w:r>
      <w:r>
        <w:rPr>
          <w:rFonts w:hint="eastAsia" w:ascii="仿宋_GB2312" w:hAnsi="仿宋" w:eastAsia="仿宋_GB2312" w:cs="仿宋"/>
          <w:sz w:val="32"/>
        </w:rPr>
        <w:t>本项目立项实施根据政策文件开展，项目报财政局审批，按照规定的程序申请设立，不存在问题。本项目款项专用，统筹安排，按照计划管理，按照实际发生支付，实际支出与项目规定的用途一致，不存在超范围超标准支出，挤占挪用等违法违规问题，资金管理不存在问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rPr>
        <w:t>继续严格按照相关管理制度要求，严格规范使用项目资金，做到来源清楚、去向明确，进一步提高资金使用的规范性。加强年初预算管理，参考多方因素，完善项目设立。</w:t>
      </w:r>
    </w:p>
    <w:p w14:paraId="0ACE9A57">
      <w:pPr>
        <w:pStyle w:val="31"/>
        <w:widowControl/>
        <w:spacing w:before="240" w:after="240"/>
        <w:ind w:firstLine="640" w:firstLineChars="200"/>
        <w:jc w:val="left"/>
        <w:rPr>
          <w:rFonts w:hint="eastAsia" w:ascii="方正楷体_GB2312" w:hAnsi="方正楷体_GB2312" w:eastAsia="方正楷体_GB2312" w:cs="方正楷体_GB2312"/>
          <w:b/>
          <w:bCs/>
          <w:kern w:val="0"/>
          <w:sz w:val="32"/>
          <w:szCs w:val="32"/>
        </w:rPr>
      </w:pPr>
      <w:r>
        <w:rPr>
          <w:rFonts w:hint="eastAsia" w:ascii="方正楷体_GB2312" w:hAnsi="方正楷体_GB2312" w:eastAsia="方正楷体_GB2312" w:cs="方正楷体_GB2312"/>
          <w:b/>
          <w:bCs/>
          <w:kern w:val="0"/>
          <w:sz w:val="32"/>
          <w:szCs w:val="32"/>
        </w:rPr>
        <w:t>（三）单位项目绩效评价结果。</w:t>
      </w:r>
    </w:p>
    <w:p w14:paraId="2381244E">
      <w:pPr>
        <w:pStyle w:val="32"/>
        <w:keepNext w:val="0"/>
        <w:keepLines w:val="0"/>
        <w:pageBreakBefore w:val="0"/>
        <w:widowControl/>
        <w:kinsoku/>
        <w:wordWrap/>
        <w:overflowPunct/>
        <w:topLinePunct w:val="0"/>
        <w:autoSpaceDE/>
        <w:autoSpaceDN/>
        <w:bidi w:val="0"/>
        <w:adjustRightInd/>
        <w:snapToGrid/>
        <w:spacing w:before="240" w:after="0" w:line="580" w:lineRule="exact"/>
        <w:ind w:firstLine="640" w:firstLineChars="200"/>
        <w:jc w:val="left"/>
        <w:textAlignment w:val="auto"/>
        <w:rPr>
          <w:rFonts w:hint="eastAsia" w:ascii="仿宋_GB2312" w:hAnsi="仿宋" w:eastAsia="仿宋_GB2312" w:cs="仿宋"/>
          <w:kern w:val="2"/>
          <w:sz w:val="32"/>
          <w:szCs w:val="24"/>
          <w:lang w:val="en-US" w:eastAsia="zh-CN" w:bidi="ar-SA"/>
        </w:rPr>
      </w:pPr>
      <w:r>
        <w:rPr>
          <w:rFonts w:hint="eastAsia" w:ascii="仿宋_GB2312" w:hAnsi="仿宋" w:eastAsia="仿宋_GB2312" w:cs="仿宋"/>
          <w:kern w:val="2"/>
          <w:sz w:val="32"/>
          <w:szCs w:val="24"/>
          <w:lang w:val="en-US" w:eastAsia="zh-CN" w:bidi="ar-SA"/>
        </w:rPr>
        <w:t>以“中小企业公共服务平台和中小微企业金融服务信用信息平台运行”项目为例，该项目绩效评价综合得分为</w:t>
      </w:r>
      <w:r>
        <w:rPr>
          <w:rFonts w:hint="eastAsia" w:ascii="仿宋_GB2312" w:hAnsi="仿宋" w:eastAsia="仿宋_GB2312" w:cs="仿宋"/>
          <w:kern w:val="2"/>
          <w:sz w:val="32"/>
          <w:szCs w:val="24"/>
          <w:u w:val="single"/>
          <w:lang w:val="en-US" w:eastAsia="zh-CN" w:bidi="ar-SA"/>
        </w:rPr>
        <w:t>93.44</w:t>
      </w:r>
      <w:r>
        <w:rPr>
          <w:rFonts w:hint="eastAsia" w:ascii="仿宋_GB2312" w:hAnsi="仿宋" w:eastAsia="仿宋_GB2312" w:cs="仿宋"/>
          <w:kern w:val="2"/>
          <w:sz w:val="32"/>
          <w:szCs w:val="24"/>
          <w:lang w:val="en-US" w:eastAsia="zh-CN" w:bidi="ar-SA"/>
        </w:rPr>
        <w:t>分，绩效评价结果为“优”。“中小企业公共服务平台和中小微企业金融服务信用信息平台运行”项目绩效评价报告见附件。</w:t>
      </w:r>
      <w:bookmarkStart w:id="1" w:name="_GoBack"/>
      <w:bookmarkEnd w:id="1"/>
    </w:p>
    <w:p w14:paraId="577D4640">
      <w:pPr>
        <w:widowControl/>
        <w:spacing w:before="240" w:after="240"/>
        <w:jc w:val="left"/>
        <w:rPr>
          <w:rFonts w:hint="eastAsia" w:eastAsiaTheme="minorEastAsia"/>
          <w:kern w:val="0"/>
          <w:sz w:val="24"/>
        </w:rPr>
      </w:pPr>
    </w:p>
    <w:p w14:paraId="24FCBF3A">
      <w:pPr>
        <w:adjustRightInd w:val="0"/>
        <w:snapToGrid w:val="0"/>
        <w:spacing w:beforeLines="100" w:afterLines="100" w:line="570" w:lineRule="exact"/>
        <w:jc w:val="center"/>
        <w:outlineLvl w:val="0"/>
        <w:rPr>
          <w:rFonts w:ascii="方正小标宋简体" w:hAnsi="黑体" w:eastAsia="方正小标宋简体"/>
          <w:color w:val="000000"/>
          <w:sz w:val="36"/>
          <w:szCs w:val="36"/>
        </w:rPr>
      </w:pPr>
      <w:r>
        <w:rPr>
          <w:rFonts w:ascii="方正小标宋简体" w:hAnsi="黑体" w:eastAsia="方正小标宋简体" w:cs="Times New Roman"/>
          <w:b w:val="0"/>
          <w:bCs w:val="0"/>
          <w:color w:val="000000"/>
          <w:kern w:val="2"/>
          <w:sz w:val="36"/>
          <w:szCs w:val="36"/>
          <w:lang w:val="en-US" w:eastAsia="zh-CN" w:bidi="ar-SA"/>
        </w:rPr>
        <w:t>第三部分  名词解释</w:t>
      </w:r>
    </w:p>
    <w:p w14:paraId="1AD2FECA">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一、财政拨款收入：</w:t>
      </w:r>
      <w:r>
        <w:rPr>
          <w:rFonts w:ascii="仿宋_GB2312" w:hAnsi="fang_song_gb2312" w:eastAsia="仿宋_GB2312" w:cs="fang_song_gb2312"/>
          <w:kern w:val="0"/>
          <w:sz w:val="32"/>
          <w:szCs w:val="32"/>
        </w:rPr>
        <w:t>从同级财政部门取得的各类财政拨款，包括一般公共预算财政拨款、政府性基金预算财政拨款、国有资本经营预算财政拨款。</w:t>
      </w:r>
    </w:p>
    <w:p w14:paraId="0655B813">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二、上级补助收入：</w:t>
      </w:r>
      <w:r>
        <w:rPr>
          <w:rFonts w:ascii="仿宋_GB2312" w:hAnsi="fang_song_gb2312" w:eastAsia="仿宋_GB2312" w:cs="fang_song_gb2312"/>
          <w:kern w:val="0"/>
          <w:sz w:val="32"/>
          <w:szCs w:val="32"/>
        </w:rPr>
        <w:t>指事业单位从主管部门和上级单位取得的非财政补助收入。</w:t>
      </w:r>
    </w:p>
    <w:p w14:paraId="7171E1DB">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三、财政专户管理教育收费：</w:t>
      </w:r>
      <w:r>
        <w:rPr>
          <w:rFonts w:ascii="仿宋_GB2312" w:hAnsi="fang_song_gb2312" w:eastAsia="仿宋_GB2312" w:cs="fang_song_gb2312"/>
          <w:kern w:val="0"/>
          <w:sz w:val="32"/>
          <w:szCs w:val="32"/>
        </w:rPr>
        <w:t>指缴入财政专户、实行专项管理的高中以上学费、住宿费、高校委托培养费、函大、电大、夜大及短训班培训费等教育收费。</w:t>
      </w:r>
    </w:p>
    <w:p w14:paraId="69649A2B">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四、事业收入：</w:t>
      </w:r>
      <w:r>
        <w:rPr>
          <w:rFonts w:ascii="仿宋_GB2312" w:hAnsi="fang_song_gb2312" w:eastAsia="仿宋_GB2312" w:cs="fang_song_gb2312"/>
          <w:kern w:val="0"/>
          <w:sz w:val="32"/>
          <w:szCs w:val="32"/>
        </w:rPr>
        <w:t>指事业单位开展专业业务活动及其辅助活动取得的收入。</w:t>
      </w:r>
    </w:p>
    <w:p w14:paraId="6696D51D">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五、经营收入：</w:t>
      </w:r>
      <w:r>
        <w:rPr>
          <w:rFonts w:ascii="仿宋_GB2312" w:hAnsi="fang_song_gb2312" w:eastAsia="仿宋_GB2312" w:cs="fang_song_gb2312"/>
          <w:kern w:val="0"/>
          <w:sz w:val="32"/>
          <w:szCs w:val="32"/>
        </w:rPr>
        <w:t>指事业单位在专业业务活动及其辅助活动之外开展非独立核算经营活动取得的收入。</w:t>
      </w:r>
    </w:p>
    <w:p w14:paraId="2BE422C8">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六、附属单位上缴收入：</w:t>
      </w:r>
      <w:r>
        <w:rPr>
          <w:rFonts w:ascii="仿宋_GB2312" w:hAnsi="fang_song_gb2312" w:eastAsia="仿宋_GB2312" w:cs="fang_song_gb2312"/>
          <w:kern w:val="0"/>
          <w:sz w:val="32"/>
          <w:szCs w:val="32"/>
        </w:rPr>
        <w:t>指事业单位取得附属独立核算单位按照有关规定上缴的收入。</w:t>
      </w:r>
    </w:p>
    <w:p w14:paraId="76F49A45">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七、其他收入：</w:t>
      </w:r>
      <w:r>
        <w:rPr>
          <w:rFonts w:ascii="仿宋_GB2312" w:hAnsi="fang_song_gb2312" w:eastAsia="仿宋_GB2312" w:cs="fang_song_gb2312"/>
          <w:kern w:val="0"/>
          <w:sz w:val="32"/>
          <w:szCs w:val="32"/>
        </w:rPr>
        <w:t>取得的除上述“财政拨款收入”、“上级补助收入”、“事业收入”、“经营收入”、“附属单位上缴收入”等以外的各项收入。</w:t>
      </w:r>
    </w:p>
    <w:p w14:paraId="3FD9EF54">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八、使用非财政拨款结余和专用结余：</w:t>
      </w:r>
      <w:r>
        <w:rPr>
          <w:rFonts w:ascii="仿宋_GB2312" w:hAnsi="fang_song_gb2312" w:eastAsia="仿宋_GB2312" w:cs="fang_song_gb2312"/>
          <w:kern w:val="0"/>
          <w:sz w:val="32"/>
          <w:szCs w:val="32"/>
        </w:rPr>
        <w:t>指事业单位按照预算管理要求使用非财政拨款结余和专用结余弥补当年收支差额的数额。</w:t>
      </w:r>
    </w:p>
    <w:p w14:paraId="2D91A84E">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w:t>
      </w:r>
      <w:r>
        <w:rPr>
          <w:rFonts w:hint="eastAsia" w:ascii="fang_song_gb2312" w:hAnsi="fang_song_gb2312" w:cs="fang_song_gb2312"/>
          <w:b/>
          <w:bCs/>
          <w:kern w:val="0"/>
          <w:sz w:val="27"/>
          <w:szCs w:val="27"/>
          <w:lang w:val="en-US" w:eastAsia="zh-CN"/>
        </w:rPr>
        <w:t xml:space="preserve"> </w:t>
      </w:r>
      <w:r>
        <w:rPr>
          <w:rFonts w:ascii="fang_song_gb2312" w:hAnsi="fang_song_gb2312" w:eastAsia="fang_song_gb2312" w:cs="fang_song_gb2312"/>
          <w:b/>
          <w:bCs/>
          <w:kern w:val="0"/>
          <w:sz w:val="27"/>
          <w:szCs w:val="27"/>
        </w:rPr>
        <w:t xml:space="preserve"> </w:t>
      </w:r>
      <w:r>
        <w:rPr>
          <w:rFonts w:ascii="仿宋_GB2312" w:hAnsi="宋体" w:eastAsia="仿宋_GB2312"/>
          <w:b/>
          <w:color w:val="000000"/>
          <w:sz w:val="32"/>
          <w:szCs w:val="32"/>
        </w:rPr>
        <w:t>九、年初结转和结余：</w:t>
      </w:r>
      <w:r>
        <w:rPr>
          <w:rFonts w:ascii="仿宋_GB2312" w:hAnsi="fang_song_gb2312" w:eastAsia="仿宋_GB2312" w:cs="fang_song_gb2312"/>
          <w:kern w:val="0"/>
          <w:sz w:val="32"/>
          <w:szCs w:val="32"/>
        </w:rPr>
        <w:t>指单位上年结转本年使用的基本支出结转、项目支出结转和结余、经营结余。</w:t>
      </w:r>
    </w:p>
    <w:p w14:paraId="39480306">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十、结余分配：</w:t>
      </w:r>
      <w:r>
        <w:rPr>
          <w:rFonts w:ascii="仿宋_GB2312" w:hAnsi="fang_song_gb2312" w:eastAsia="仿宋_GB2312" w:cs="fang_song_gb2312"/>
          <w:kern w:val="0"/>
          <w:sz w:val="32"/>
          <w:szCs w:val="32"/>
        </w:rPr>
        <w:t>指事业单位按规定缴纳企业所得税以及从非财政拨款结余或经营结余中提取各类结余的情况。</w:t>
      </w:r>
    </w:p>
    <w:p w14:paraId="0851136A">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十一、年末结转和结余资金：</w:t>
      </w:r>
      <w:r>
        <w:rPr>
          <w:rFonts w:ascii="仿宋_GB2312" w:hAnsi="fang_song_gb2312" w:eastAsia="仿宋_GB2312" w:cs="fang_song_gb2312"/>
          <w:kern w:val="0"/>
          <w:sz w:val="32"/>
          <w:szCs w:val="32"/>
        </w:rPr>
        <w:t>指单位结转下年的基本支出结转、项目支出结转和结余、经营结余。</w:t>
      </w:r>
    </w:p>
    <w:p w14:paraId="771AD7BA">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十二、基本支出：</w:t>
      </w:r>
      <w:r>
        <w:rPr>
          <w:rFonts w:ascii="仿宋_GB2312" w:hAnsi="fang_song_gb2312" w:eastAsia="仿宋_GB2312" w:cs="fang_song_gb2312"/>
          <w:kern w:val="0"/>
          <w:sz w:val="32"/>
          <w:szCs w:val="32"/>
        </w:rPr>
        <w:t>指为保障机构正常运转、完成日常工作任务所发生的支出，包括人员经费和公用经费。</w:t>
      </w:r>
    </w:p>
    <w:p w14:paraId="5664C08E">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十三、项目支出：</w:t>
      </w:r>
      <w:r>
        <w:rPr>
          <w:rFonts w:ascii="仿宋_GB2312" w:hAnsi="fang_song_gb2312" w:eastAsia="仿宋_GB2312" w:cs="fang_song_gb2312"/>
          <w:kern w:val="0"/>
          <w:sz w:val="32"/>
          <w:szCs w:val="32"/>
        </w:rPr>
        <w:t>指在为完成特定的工作任务和事业发展目标所发生的支出。</w:t>
      </w:r>
    </w:p>
    <w:p w14:paraId="684B120F">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十四、上缴上级支出：</w:t>
      </w:r>
      <w:r>
        <w:rPr>
          <w:rFonts w:ascii="仿宋_GB2312" w:hAnsi="fang_song_gb2312" w:eastAsia="仿宋_GB2312" w:cs="fang_song_gb2312"/>
          <w:kern w:val="0"/>
          <w:sz w:val="32"/>
          <w:szCs w:val="32"/>
        </w:rPr>
        <w:t>指事业单位按照财政部门和主管部门的规定上缴上级单位的支出。</w:t>
      </w:r>
    </w:p>
    <w:p w14:paraId="6FB01733">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eastAsia="Times New Roman"/>
          <w:kern w:val="0"/>
          <w:sz w:val="24"/>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十五、经营支出：</w:t>
      </w:r>
      <w:r>
        <w:rPr>
          <w:rFonts w:ascii="仿宋_GB2312" w:hAnsi="fang_song_gb2312" w:eastAsia="仿宋_GB2312" w:cs="fang_song_gb2312"/>
          <w:kern w:val="0"/>
          <w:sz w:val="32"/>
          <w:szCs w:val="32"/>
        </w:rPr>
        <w:t>指事业单位在专业业务活动及其辅助活动之外开展非独立核算经营活动发生的支出。</w:t>
      </w:r>
    </w:p>
    <w:p w14:paraId="52C378EA">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十六、对附属单位补助支出：</w:t>
      </w:r>
      <w:r>
        <w:rPr>
          <w:rFonts w:ascii="仿宋_GB2312" w:hAnsi="fang_song_gb2312" w:eastAsia="仿宋_GB2312" w:cs="fang_song_gb2312"/>
          <w:kern w:val="0"/>
          <w:sz w:val="32"/>
          <w:szCs w:val="32"/>
        </w:rPr>
        <w:t>指事业单位用财政拨款收入之外的收入对附属单位补助发生的支出。</w:t>
      </w:r>
    </w:p>
    <w:p w14:paraId="67A20DE4">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仿宋_GB2312" w:hAnsi="fang_song_gb2312" w:eastAsia="仿宋_GB2312" w:cs="fang_song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十七、“三公”经费：</w:t>
      </w:r>
      <w:r>
        <w:rPr>
          <w:rFonts w:ascii="仿宋_GB2312" w:hAnsi="fang_song_gb2312" w:eastAsia="仿宋_GB2312" w:cs="fang_song_gb2312"/>
          <w:kern w:val="0"/>
          <w:sz w:val="3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B03D0FE">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hint="eastAsia"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b/>
          <w:bCs/>
          <w:kern w:val="0"/>
          <w:sz w:val="27"/>
          <w:szCs w:val="27"/>
          <w:lang w:val="en-US" w:eastAsia="zh-CN"/>
        </w:rPr>
        <w:t xml:space="preserve"> </w:t>
      </w:r>
      <w:r>
        <w:rPr>
          <w:rFonts w:ascii="仿宋_GB2312" w:hAnsi="宋体" w:eastAsia="仿宋_GB2312"/>
          <w:b/>
          <w:color w:val="000000"/>
          <w:sz w:val="32"/>
          <w:szCs w:val="32"/>
        </w:rPr>
        <w:t>十八、机构运行经费：</w:t>
      </w:r>
      <w:r>
        <w:rPr>
          <w:rFonts w:hint="eastAsia" w:ascii="仿宋_GB2312" w:hAnsi="fang_song_gb2312" w:eastAsia="仿宋_GB2312" w:cs="fang_song_gb2312"/>
          <w:kern w:val="0"/>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5CAB6F5">
      <w:pPr>
        <w:widowControl/>
        <w:spacing w:before="240" w:after="240"/>
        <w:jc w:val="left"/>
        <w:rPr>
          <w:rFonts w:eastAsia="Times New Roman"/>
          <w:kern w:val="0"/>
          <w:sz w:val="24"/>
        </w:rPr>
      </w:pPr>
    </w:p>
    <w:p w14:paraId="5A9C35C1">
      <w:pPr>
        <w:adjustRightInd w:val="0"/>
        <w:snapToGrid w:val="0"/>
        <w:spacing w:beforeLines="100" w:afterLines="100" w:line="570" w:lineRule="exact"/>
        <w:jc w:val="center"/>
        <w:outlineLvl w:val="0"/>
        <w:rPr>
          <w:rFonts w:eastAsia="Times New Roman"/>
          <w:kern w:val="0"/>
          <w:sz w:val="24"/>
        </w:rPr>
      </w:pPr>
      <w:r>
        <w:rPr>
          <w:rFonts w:ascii="方正小标宋简体" w:hAnsi="黑体" w:eastAsia="方正小标宋简体" w:cs="Times New Roman"/>
          <w:b w:val="0"/>
          <w:bCs w:val="0"/>
          <w:color w:val="000000"/>
          <w:kern w:val="2"/>
          <w:sz w:val="36"/>
          <w:szCs w:val="36"/>
          <w:lang w:val="en-US" w:eastAsia="zh-CN" w:bidi="ar-SA"/>
        </w:rPr>
        <w:t>第四部分 决算公开联系方式及信息反馈渠道</w:t>
      </w:r>
    </w:p>
    <w:p w14:paraId="3B01D69E">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hint="eastAsia"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本单位决算公开信息反馈和联系方式：</w:t>
      </w:r>
    </w:p>
    <w:p w14:paraId="13362C9B">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hint="eastAsia"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联系人：</w:t>
      </w:r>
      <w:r>
        <w:rPr>
          <w:rFonts w:hint="eastAsia" w:ascii="仿宋_GB2312" w:hAnsi="fang_song_gb2312" w:eastAsia="仿宋_GB2312" w:cs="fang_song_gb2312"/>
          <w:kern w:val="0"/>
          <w:sz w:val="32"/>
          <w:szCs w:val="32"/>
          <w:u w:val="single"/>
        </w:rPr>
        <w:t xml:space="preserve">韩芮萱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联系电话：0476-8288982</w:t>
      </w:r>
    </w:p>
    <w:p w14:paraId="1B1F78B2">
      <w:pPr>
        <w:widowControl/>
        <w:spacing w:before="240" w:after="240"/>
        <w:jc w:val="left"/>
        <w:rPr>
          <w:rFonts w:eastAsia="Times New Roman"/>
          <w:kern w:val="0"/>
          <w:sz w:val="24"/>
        </w:rPr>
      </w:pPr>
    </w:p>
    <w:p w14:paraId="1D08089C">
      <w:pPr>
        <w:adjustRightInd w:val="0"/>
        <w:snapToGrid w:val="0"/>
        <w:spacing w:beforeLines="100" w:afterLines="100" w:line="570" w:lineRule="exact"/>
        <w:jc w:val="center"/>
        <w:outlineLvl w:val="0"/>
        <w:rPr>
          <w:rFonts w:ascii="方正小标宋简体" w:hAnsi="黑体" w:eastAsia="方正小标宋简体" w:cs="Times New Roman"/>
          <w:b w:val="0"/>
          <w:bCs w:val="0"/>
          <w:color w:val="000000"/>
          <w:kern w:val="2"/>
          <w:sz w:val="36"/>
          <w:szCs w:val="36"/>
          <w:lang w:val="en-US" w:eastAsia="zh-CN" w:bidi="ar-SA"/>
        </w:rPr>
      </w:pPr>
      <w:r>
        <w:rPr>
          <w:rFonts w:ascii="方正小标宋简体" w:hAnsi="黑体" w:eastAsia="方正小标宋简体" w:cs="Times New Roman"/>
          <w:b w:val="0"/>
          <w:bCs w:val="0"/>
          <w:color w:val="000000"/>
          <w:kern w:val="2"/>
          <w:sz w:val="36"/>
          <w:szCs w:val="36"/>
          <w:lang w:val="en-US" w:eastAsia="zh-CN" w:bidi="ar-SA"/>
        </w:rPr>
        <w:t>第五部分 单位决算表</w:t>
      </w:r>
    </w:p>
    <w:p w14:paraId="05BB51D6">
      <w:pPr>
        <w:widowControl/>
        <w:spacing w:before="240" w:after="240"/>
        <w:jc w:val="center"/>
        <w:rPr>
          <w:rFonts w:eastAsia="Times New Roman"/>
          <w:kern w:val="0"/>
          <w:sz w:val="24"/>
        </w:rPr>
      </w:pPr>
    </w:p>
    <w:p w14:paraId="667821B3">
      <w:pPr>
        <w:widowControl/>
        <w:spacing w:before="240" w:after="240"/>
        <w:jc w:val="left"/>
        <w:rPr>
          <w:rFonts w:hint="eastAsia" w:ascii="仿宋_GB2312" w:eastAsia="仿宋_GB2312"/>
          <w:kern w:val="0"/>
          <w:sz w:val="32"/>
          <w:szCs w:val="32"/>
          <w:lang w:eastAsia="zh-CN"/>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见附件</w:t>
      </w:r>
      <w:r>
        <w:rPr>
          <w:rFonts w:hint="eastAsia" w:ascii="仿宋_GB2312" w:hAnsi="fang_song_gb2312" w:eastAsia="仿宋_GB2312" w:cs="fang_song_gb2312"/>
          <w:kern w:val="0"/>
          <w:sz w:val="32"/>
          <w:szCs w:val="32"/>
          <w:lang w:eastAsia="zh-CN"/>
        </w:rPr>
        <w:t>。</w:t>
      </w:r>
    </w:p>
    <w:p w14:paraId="01941D07">
      <w:pPr>
        <w:widowControl/>
        <w:spacing w:before="240" w:after="240"/>
        <w:jc w:val="left"/>
        <w:rPr>
          <w:rFonts w:eastAsia="Times New Roman"/>
          <w:kern w:val="0"/>
          <w:sz w:val="24"/>
        </w:rPr>
      </w:pPr>
    </w:p>
    <w:p w14:paraId="466DCA03">
      <w:pPr>
        <w:widowControl/>
        <w:spacing w:before="240" w:after="240"/>
        <w:jc w:val="left"/>
        <w:rPr>
          <w:rFonts w:eastAsia="Times New Roman"/>
          <w:kern w:val="0"/>
          <w:sz w:val="24"/>
        </w:rPr>
      </w:pPr>
    </w:p>
    <w:p w14:paraId="591028EC">
      <w:pPr>
        <w:widowControl/>
        <w:spacing w:before="240" w:after="240"/>
        <w:jc w:val="left"/>
        <w:rPr>
          <w:rFonts w:eastAsia="Times New Roman"/>
          <w:kern w:val="0"/>
          <w:sz w:val="24"/>
        </w:rPr>
      </w:pPr>
    </w:p>
    <w:p w14:paraId="4C78957B">
      <w:pPr>
        <w:widowControl/>
        <w:spacing w:before="240" w:after="240"/>
        <w:jc w:val="left"/>
        <w:rPr>
          <w:rFonts w:eastAsia="Times New Roman"/>
          <w:kern w:val="0"/>
          <w:sz w:val="24"/>
        </w:rPr>
      </w:pPr>
    </w:p>
    <w:bookmarkEnd w:id="0"/>
    <w:p w14:paraId="0461036A">
      <w:pPr>
        <w:adjustRightInd w:val="0"/>
        <w:snapToGrid w:val="0"/>
        <w:rPr>
          <w:rFonts w:ascii="宋体" w:hAnsi="宋体"/>
          <w:b/>
          <w:sz w:val="32"/>
          <w:szCs w:val="32"/>
        </w:rPr>
      </w:pPr>
    </w:p>
    <w:p w14:paraId="47C9456B">
      <w:pPr>
        <w:adjustRightInd w:val="0"/>
        <w:snapToGrid w:val="0"/>
        <w:rPr>
          <w:rFonts w:ascii="宋体" w:hAnsi="宋体"/>
          <w:b/>
          <w:sz w:val="32"/>
          <w:szCs w:val="32"/>
        </w:rPr>
      </w:pPr>
    </w:p>
    <w:p w14:paraId="14047713">
      <w:pPr>
        <w:tabs>
          <w:tab w:val="left" w:pos="8415"/>
        </w:tabs>
      </w:pPr>
    </w:p>
    <w:sectPr>
      <w:footerReference r:id="rId4" w:type="default"/>
      <w:pgSz w:w="11906" w:h="16838"/>
      <w:pgMar w:top="2098" w:right="1474" w:bottom="1701" w:left="1474" w:header="0" w:footer="720" w:gutter="0"/>
      <w:cols w:space="0" w:num="1"/>
      <w:rtlGutter w:val="0"/>
      <w:docGrid w:type="linesAndChars" w:linePitch="592"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9DFAD-054D-4443-A55C-49ED9A851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63D3D2B-567F-4F98-8553-91C2F70E9FB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9D6EDE0-6C9D-4A4C-8121-1B5CC33009A5}"/>
  </w:font>
  <w:font w:name="方正小标宋简体">
    <w:altName w:val="黑体"/>
    <w:panose1 w:val="03000509000000000000"/>
    <w:charset w:val="86"/>
    <w:family w:val="script"/>
    <w:pitch w:val="default"/>
    <w:sig w:usb0="00000000" w:usb1="00000000" w:usb2="00000010" w:usb3="00000000" w:csb0="00040000" w:csb1="00000000"/>
    <w:embedRegular r:id="rId4" w:fontKey="{18966FE6-688A-4971-9B14-D6248D366210}"/>
  </w:font>
  <w:font w:name="仿宋">
    <w:panose1 w:val="02010609060101010101"/>
    <w:charset w:val="86"/>
    <w:family w:val="modern"/>
    <w:pitch w:val="default"/>
    <w:sig w:usb0="800002BF" w:usb1="38CF7CFA" w:usb2="00000016" w:usb3="00000000" w:csb0="00040001" w:csb1="00000000"/>
    <w:embedRegular r:id="rId5" w:fontKey="{88326F76-8912-439F-A573-3240274F305E}"/>
  </w:font>
  <w:font w:name="楷体_GB2312">
    <w:altName w:val="楷体"/>
    <w:panose1 w:val="00000000000000000000"/>
    <w:charset w:val="86"/>
    <w:family w:val="modern"/>
    <w:pitch w:val="default"/>
    <w:sig w:usb0="00000000" w:usb1="00000000" w:usb2="00000010" w:usb3="00000000" w:csb0="00040000" w:csb1="00000000"/>
    <w:embedRegular r:id="rId6" w:fontKey="{57F94086-BDB4-4607-B59F-33E89D8C597B}"/>
  </w:font>
  <w:font w:name="fang_song_gb2312">
    <w:altName w:val="Times New Roman"/>
    <w:panose1 w:val="00000000000000000000"/>
    <w:charset w:val="00"/>
    <w:family w:val="roman"/>
    <w:pitch w:val="default"/>
    <w:sig w:usb0="00000000" w:usb1="00000000" w:usb2="00000000" w:usb3="00000000" w:csb0="00000000" w:csb1="00000000"/>
    <w:embedRegular r:id="rId7" w:fontKey="{1756D7DE-E0FB-4299-9C8B-2151FA395E13}"/>
  </w:font>
  <w:font w:name="times_new_roman">
    <w:altName w:val="Times New Roman"/>
    <w:panose1 w:val="00000000000000000000"/>
    <w:charset w:val="00"/>
    <w:family w:val="roman"/>
    <w:pitch w:val="default"/>
    <w:sig w:usb0="00000000" w:usb1="00000000" w:usb2="00000000" w:usb3="00000000" w:csb0="00000000" w:csb1="00000000"/>
    <w:embedRegular r:id="rId8" w:fontKey="{68B383FF-B72F-4C01-98EB-3619EFB9C2B4}"/>
  </w:font>
  <w:font w:name="方正楷体_GB2312">
    <w:panose1 w:val="02000000000000000000"/>
    <w:charset w:val="86"/>
    <w:family w:val="auto"/>
    <w:pitch w:val="default"/>
    <w:sig w:usb0="A00002BF" w:usb1="184F6CFA" w:usb2="00000012" w:usb3="00000000" w:csb0="00040001" w:csb1="00000000"/>
    <w:embedRegular r:id="rId9" w:fontKey="{EFBAE7EA-DE65-4164-9A4A-100F98EF8E42}"/>
  </w:font>
  <w:font w:name="kai_ti_gb2312">
    <w:altName w:val="Times New Roman"/>
    <w:panose1 w:val="00000000000000000000"/>
    <w:charset w:val="00"/>
    <w:family w:val="roman"/>
    <w:pitch w:val="default"/>
    <w:sig w:usb0="00000000" w:usb1="00000000" w:usb2="00000000" w:usb3="00000000" w:csb0="00000000" w:csb1="00000000"/>
    <w:embedRegular r:id="rId10" w:fontKey="{767EF4F3-A4F4-45B7-B32D-79C7E2C44EBE}"/>
  </w:font>
  <w:font w:name="楷体">
    <w:panose1 w:val="02010609060101010101"/>
    <w:charset w:val="86"/>
    <w:family w:val="modern"/>
    <w:pitch w:val="default"/>
    <w:sig w:usb0="800002BF" w:usb1="38CF7CFA" w:usb2="00000016" w:usb3="00000000" w:csb0="00040001" w:csb1="00000000"/>
    <w:embedRegular r:id="rId11" w:fontKey="{404A3D3A-1583-4DE1-8047-54839C071F0F}"/>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132F">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BA76">
    <w:pPr>
      <w:pStyle w:val="13"/>
      <w:jc w:val="center"/>
    </w:pPr>
    <w:r>
      <w:fldChar w:fldCharType="begin"/>
    </w:r>
    <w:r>
      <w:instrText xml:space="preserve"> PAGE   \* MERGEFORMAT </w:instrText>
    </w:r>
    <w:r>
      <w:fldChar w:fldCharType="separate"/>
    </w:r>
    <w:r>
      <w:rPr>
        <w:lang w:val="zh-CN"/>
      </w:rPr>
      <w:t>3</w:t>
    </w:r>
    <w:r>
      <w:rPr>
        <w:lang w:val="zh-CN"/>
      </w:rPr>
      <w:fldChar w:fldCharType="end"/>
    </w:r>
  </w:p>
  <w:p w14:paraId="6D9826A9">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29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yMjhhMmQ1ZjVmYTBhOTNiMGQ4N2EyYmVhY2M2OTkifQ=="/>
  </w:docVars>
  <w:rsids>
    <w:rsidRoot w:val="009F0536"/>
    <w:rsid w:val="00006114"/>
    <w:rsid w:val="0000662F"/>
    <w:rsid w:val="000125DD"/>
    <w:rsid w:val="00016039"/>
    <w:rsid w:val="00023E75"/>
    <w:rsid w:val="00033C6A"/>
    <w:rsid w:val="000525A7"/>
    <w:rsid w:val="00063AC2"/>
    <w:rsid w:val="000774F0"/>
    <w:rsid w:val="0008308B"/>
    <w:rsid w:val="00097269"/>
    <w:rsid w:val="000A769F"/>
    <w:rsid w:val="000B1AB4"/>
    <w:rsid w:val="000C69C7"/>
    <w:rsid w:val="000D3889"/>
    <w:rsid w:val="000F19EE"/>
    <w:rsid w:val="0010682D"/>
    <w:rsid w:val="00144A80"/>
    <w:rsid w:val="0015058B"/>
    <w:rsid w:val="0015121C"/>
    <w:rsid w:val="001620BF"/>
    <w:rsid w:val="0017670D"/>
    <w:rsid w:val="001814D4"/>
    <w:rsid w:val="00183373"/>
    <w:rsid w:val="001E7634"/>
    <w:rsid w:val="00200B21"/>
    <w:rsid w:val="00204509"/>
    <w:rsid w:val="00214054"/>
    <w:rsid w:val="00220CFF"/>
    <w:rsid w:val="00225D2E"/>
    <w:rsid w:val="0023107E"/>
    <w:rsid w:val="00233241"/>
    <w:rsid w:val="00234131"/>
    <w:rsid w:val="00234501"/>
    <w:rsid w:val="00261BE0"/>
    <w:rsid w:val="00297C52"/>
    <w:rsid w:val="002A40A4"/>
    <w:rsid w:val="002F1AC4"/>
    <w:rsid w:val="00300987"/>
    <w:rsid w:val="003060F5"/>
    <w:rsid w:val="0030784F"/>
    <w:rsid w:val="00312846"/>
    <w:rsid w:val="00367870"/>
    <w:rsid w:val="00375E79"/>
    <w:rsid w:val="003A4A14"/>
    <w:rsid w:val="003A4E85"/>
    <w:rsid w:val="003B3EAA"/>
    <w:rsid w:val="003B41AA"/>
    <w:rsid w:val="003C313F"/>
    <w:rsid w:val="004147C1"/>
    <w:rsid w:val="00482D36"/>
    <w:rsid w:val="00487C5C"/>
    <w:rsid w:val="00490629"/>
    <w:rsid w:val="0049507B"/>
    <w:rsid w:val="004A738F"/>
    <w:rsid w:val="004B1589"/>
    <w:rsid w:val="004B721F"/>
    <w:rsid w:val="004C4E6B"/>
    <w:rsid w:val="004D7065"/>
    <w:rsid w:val="004E0B6C"/>
    <w:rsid w:val="005011E1"/>
    <w:rsid w:val="00505A51"/>
    <w:rsid w:val="0051384E"/>
    <w:rsid w:val="00514379"/>
    <w:rsid w:val="00521603"/>
    <w:rsid w:val="005225D2"/>
    <w:rsid w:val="00536012"/>
    <w:rsid w:val="0054218A"/>
    <w:rsid w:val="0054657E"/>
    <w:rsid w:val="00583B5A"/>
    <w:rsid w:val="0058546F"/>
    <w:rsid w:val="0059054F"/>
    <w:rsid w:val="00596608"/>
    <w:rsid w:val="005B4139"/>
    <w:rsid w:val="005C13AB"/>
    <w:rsid w:val="005F5E17"/>
    <w:rsid w:val="00667493"/>
    <w:rsid w:val="006725D5"/>
    <w:rsid w:val="00692D6C"/>
    <w:rsid w:val="00693BD2"/>
    <w:rsid w:val="00696582"/>
    <w:rsid w:val="006C017F"/>
    <w:rsid w:val="006C69C8"/>
    <w:rsid w:val="006D247E"/>
    <w:rsid w:val="006D6C71"/>
    <w:rsid w:val="006E7255"/>
    <w:rsid w:val="006F63F7"/>
    <w:rsid w:val="007003B2"/>
    <w:rsid w:val="007402A0"/>
    <w:rsid w:val="007435A5"/>
    <w:rsid w:val="007534CE"/>
    <w:rsid w:val="00754FFB"/>
    <w:rsid w:val="00762248"/>
    <w:rsid w:val="00787000"/>
    <w:rsid w:val="007A7BA5"/>
    <w:rsid w:val="007B6706"/>
    <w:rsid w:val="007C1FDD"/>
    <w:rsid w:val="007D6292"/>
    <w:rsid w:val="008457E3"/>
    <w:rsid w:val="0085762A"/>
    <w:rsid w:val="00857D98"/>
    <w:rsid w:val="00894C48"/>
    <w:rsid w:val="00896385"/>
    <w:rsid w:val="008A10DB"/>
    <w:rsid w:val="008B5455"/>
    <w:rsid w:val="008B6A35"/>
    <w:rsid w:val="008E654F"/>
    <w:rsid w:val="0091203D"/>
    <w:rsid w:val="009125DD"/>
    <w:rsid w:val="00920F85"/>
    <w:rsid w:val="009339A6"/>
    <w:rsid w:val="00935DE9"/>
    <w:rsid w:val="00954CD9"/>
    <w:rsid w:val="009A5EF3"/>
    <w:rsid w:val="009A6790"/>
    <w:rsid w:val="009D4809"/>
    <w:rsid w:val="009D6904"/>
    <w:rsid w:val="009E0EE4"/>
    <w:rsid w:val="009E1EE8"/>
    <w:rsid w:val="009E227B"/>
    <w:rsid w:val="009E308A"/>
    <w:rsid w:val="009E4D55"/>
    <w:rsid w:val="009F0536"/>
    <w:rsid w:val="00A147CF"/>
    <w:rsid w:val="00A270BE"/>
    <w:rsid w:val="00A331BF"/>
    <w:rsid w:val="00A36C1D"/>
    <w:rsid w:val="00A43F61"/>
    <w:rsid w:val="00A503F8"/>
    <w:rsid w:val="00A517A0"/>
    <w:rsid w:val="00A62486"/>
    <w:rsid w:val="00A739F5"/>
    <w:rsid w:val="00A855F6"/>
    <w:rsid w:val="00AB013A"/>
    <w:rsid w:val="00AB0DCA"/>
    <w:rsid w:val="00AC11F6"/>
    <w:rsid w:val="00AC69D8"/>
    <w:rsid w:val="00AD11A5"/>
    <w:rsid w:val="00AE47F5"/>
    <w:rsid w:val="00AF5F33"/>
    <w:rsid w:val="00B27D51"/>
    <w:rsid w:val="00B32BEE"/>
    <w:rsid w:val="00B373AF"/>
    <w:rsid w:val="00B4208A"/>
    <w:rsid w:val="00B46CF9"/>
    <w:rsid w:val="00B57D7A"/>
    <w:rsid w:val="00B76620"/>
    <w:rsid w:val="00B840CE"/>
    <w:rsid w:val="00B96C3D"/>
    <w:rsid w:val="00BC1029"/>
    <w:rsid w:val="00BD0928"/>
    <w:rsid w:val="00BD52FA"/>
    <w:rsid w:val="00BD767E"/>
    <w:rsid w:val="00BE200C"/>
    <w:rsid w:val="00BE56B2"/>
    <w:rsid w:val="00BE5F73"/>
    <w:rsid w:val="00BF1589"/>
    <w:rsid w:val="00BF4228"/>
    <w:rsid w:val="00C07A30"/>
    <w:rsid w:val="00C31074"/>
    <w:rsid w:val="00C352FF"/>
    <w:rsid w:val="00C42F7A"/>
    <w:rsid w:val="00C44231"/>
    <w:rsid w:val="00C73BC8"/>
    <w:rsid w:val="00C82BDD"/>
    <w:rsid w:val="00C86D55"/>
    <w:rsid w:val="00CC6B8B"/>
    <w:rsid w:val="00CD3364"/>
    <w:rsid w:val="00CD3751"/>
    <w:rsid w:val="00CE4ECD"/>
    <w:rsid w:val="00D14221"/>
    <w:rsid w:val="00D2051A"/>
    <w:rsid w:val="00D960AD"/>
    <w:rsid w:val="00D96390"/>
    <w:rsid w:val="00DF3D63"/>
    <w:rsid w:val="00E04F5E"/>
    <w:rsid w:val="00E219E7"/>
    <w:rsid w:val="00E36A88"/>
    <w:rsid w:val="00E5325D"/>
    <w:rsid w:val="00E60D6A"/>
    <w:rsid w:val="00E627C2"/>
    <w:rsid w:val="00E720C6"/>
    <w:rsid w:val="00E7309E"/>
    <w:rsid w:val="00E73321"/>
    <w:rsid w:val="00E7560A"/>
    <w:rsid w:val="00E77EC0"/>
    <w:rsid w:val="00E87393"/>
    <w:rsid w:val="00E914C1"/>
    <w:rsid w:val="00E97C37"/>
    <w:rsid w:val="00EA0EB3"/>
    <w:rsid w:val="00EB0193"/>
    <w:rsid w:val="00EC2481"/>
    <w:rsid w:val="00EC5AF3"/>
    <w:rsid w:val="00EE533B"/>
    <w:rsid w:val="00F04882"/>
    <w:rsid w:val="00F63327"/>
    <w:rsid w:val="00F80A29"/>
    <w:rsid w:val="00F87F00"/>
    <w:rsid w:val="00F963CA"/>
    <w:rsid w:val="00FA7CA5"/>
    <w:rsid w:val="00FD08EC"/>
    <w:rsid w:val="00FD7690"/>
    <w:rsid w:val="01F42D45"/>
    <w:rsid w:val="025A2CBA"/>
    <w:rsid w:val="027F2F56"/>
    <w:rsid w:val="048A42E4"/>
    <w:rsid w:val="054C794A"/>
    <w:rsid w:val="06333061"/>
    <w:rsid w:val="074327A4"/>
    <w:rsid w:val="07F1662E"/>
    <w:rsid w:val="083662D0"/>
    <w:rsid w:val="0A222B45"/>
    <w:rsid w:val="0ED72A45"/>
    <w:rsid w:val="0F9D4A1B"/>
    <w:rsid w:val="11E15093"/>
    <w:rsid w:val="12DF5835"/>
    <w:rsid w:val="14B561ED"/>
    <w:rsid w:val="15C076B6"/>
    <w:rsid w:val="196D36B1"/>
    <w:rsid w:val="1A9535F9"/>
    <w:rsid w:val="1BC1042C"/>
    <w:rsid w:val="1E5B5E2C"/>
    <w:rsid w:val="20A976C4"/>
    <w:rsid w:val="24D665AE"/>
    <w:rsid w:val="263D0137"/>
    <w:rsid w:val="292D2AFB"/>
    <w:rsid w:val="3126266B"/>
    <w:rsid w:val="323B5CA2"/>
    <w:rsid w:val="32DD144F"/>
    <w:rsid w:val="397109A1"/>
    <w:rsid w:val="3B716BD9"/>
    <w:rsid w:val="3C0468F4"/>
    <w:rsid w:val="40FB5855"/>
    <w:rsid w:val="45B91E08"/>
    <w:rsid w:val="483C0192"/>
    <w:rsid w:val="4A8B785B"/>
    <w:rsid w:val="4C7B1665"/>
    <w:rsid w:val="5675326A"/>
    <w:rsid w:val="5ACD5DBF"/>
    <w:rsid w:val="5C70230F"/>
    <w:rsid w:val="60C969EB"/>
    <w:rsid w:val="62586279"/>
    <w:rsid w:val="62F5787D"/>
    <w:rsid w:val="632D5C16"/>
    <w:rsid w:val="63FF0976"/>
    <w:rsid w:val="64341C13"/>
    <w:rsid w:val="668A626C"/>
    <w:rsid w:val="70E84C6C"/>
    <w:rsid w:val="75416CCA"/>
    <w:rsid w:val="75DF5F11"/>
    <w:rsid w:val="76465F91"/>
    <w:rsid w:val="789E0306"/>
    <w:rsid w:val="7A5E7D4D"/>
    <w:rsid w:val="7B476A33"/>
    <w:rsid w:val="7B8E085C"/>
    <w:rsid w:val="7E52679B"/>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Indent"/>
    <w:basedOn w:val="1"/>
    <w:qFormat/>
    <w:uiPriority w:val="0"/>
    <w:pPr>
      <w:spacing w:after="120"/>
      <w:ind w:left="420" w:leftChars="200"/>
    </w:p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Balloon Text"/>
    <w:basedOn w:val="1"/>
    <w:link w:val="34"/>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paragraph" w:styleId="20">
    <w:name w:val="Body Text First Indent 2"/>
    <w:basedOn w:val="8"/>
    <w:qFormat/>
    <w:uiPriority w:val="0"/>
    <w:pPr>
      <w:ind w:firstLine="420" w:firstLineChars="200"/>
    </w:p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Char"/>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Char"/>
    <w:link w:val="26"/>
    <w:qFormat/>
    <w:locked/>
    <w:uiPriority w:val="0"/>
    <w:rPr>
      <w:rFonts w:eastAsia="仿宋_GB2312"/>
      <w:sz w:val="30"/>
      <w:szCs w:val="22"/>
      <w:lang w:bidi="ar-SA"/>
    </w:rPr>
  </w:style>
  <w:style w:type="character" w:customStyle="1" w:styleId="28">
    <w:name w:val="页脚 Char"/>
    <w:basedOn w:val="22"/>
    <w:link w:val="13"/>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Char"/>
    <w:basedOn w:val="22"/>
    <w:link w:val="4"/>
    <w:qFormat/>
    <w:uiPriority w:val="0"/>
    <w:rPr>
      <w:b/>
      <w:bCs/>
      <w:kern w:val="2"/>
      <w:sz w:val="32"/>
      <w:szCs w:val="32"/>
    </w:rPr>
  </w:style>
  <w:style w:type="paragraph" w:customStyle="1" w:styleId="31">
    <w:name w:val="MsoNormal"/>
    <w:basedOn w:val="1"/>
    <w:qFormat/>
    <w:uiPriority w:val="0"/>
  </w:style>
  <w:style w:type="paragraph" w:customStyle="1" w:styleId="32">
    <w:name w:val="MsoBodyText"/>
    <w:basedOn w:val="1"/>
    <w:qFormat/>
    <w:uiPriority w:val="0"/>
  </w:style>
  <w:style w:type="paragraph" w:customStyle="1" w:styleId="33">
    <w:name w:val="MsoBodyTextFirstIndent2"/>
    <w:basedOn w:val="1"/>
    <w:qFormat/>
    <w:uiPriority w:val="0"/>
  </w:style>
  <w:style w:type="character" w:customStyle="1" w:styleId="34">
    <w:name w:val="批注框文本 Char"/>
    <w:basedOn w:val="22"/>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556.75</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449.8</c:v>
                </c:pt>
                <c:pt idx="1">
                  <c:v>106.98</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01296B7-45E7-417A-B706-DB3A0DB90B7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9464</Words>
  <Characters>10454</Characters>
  <Lines>79</Lines>
  <Paragraphs>22</Paragraphs>
  <TotalTime>0</TotalTime>
  <ScaleCrop>false</ScaleCrop>
  <LinksUpToDate>false</LinksUpToDate>
  <CharactersWithSpaces>10828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WPS_1686748017</cp:lastModifiedBy>
  <cp:lastPrinted>2021-04-16T00:45:00Z</cp:lastPrinted>
  <dcterms:modified xsi:type="dcterms:W3CDTF">2024-07-29T06:45:02Z</dcterms:modified>
  <dc:title>××年度××部门/单位</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255B88B9F8BD44BFAB7461E67BB6F5D4_12</vt:lpwstr>
  </property>
</Properties>
</file>